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593026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30265" cy="30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188595</wp:posOffset>
            </wp:positionV>
            <wp:extent cx="59302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spacing w:after="0" w:line="3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67945</wp:posOffset>
            </wp:positionV>
            <wp:extent cx="14789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141605</wp:posOffset>
            </wp:positionV>
            <wp:extent cx="14789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368" w:lineRule="exact"/>
        <w:rPr>
          <w:sz w:val="24"/>
          <w:szCs w:val="24"/>
          <w:color w:val="auto"/>
        </w:rPr>
      </w:pPr>
    </w:p>
    <w:p>
      <w:pPr>
        <w:ind w:left="580" w:right="1120" w:hanging="294"/>
        <w:spacing w:after="0" w:line="262" w:lineRule="auto"/>
        <w:tabs>
          <w:tab w:leader="none" w:pos="580"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2" w:lineRule="exact"/>
        <w:rPr>
          <w:sz w:val="24"/>
          <w:szCs w:val="24"/>
          <w:color w:val="auto"/>
        </w:rPr>
      </w:pPr>
    </w:p>
    <w:p>
      <w:pPr>
        <w:ind w:left="580" w:right="1140" w:hanging="294"/>
        <w:spacing w:after="0" w:line="262" w:lineRule="auto"/>
        <w:tabs>
          <w:tab w:leader="none" w:pos="580"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104775</wp:posOffset>
            </wp:positionV>
            <wp:extent cx="14789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3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1-16725</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PRINCIPAL FINANCIAL GROUP, INC.</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40" w:orient="portrait"/>
          <w:cols w:equalWidth="0" w:num="1">
            <w:col w:w="9300"/>
          </w:cols>
          <w:pgMar w:left="1280" w:top="557" w:right="1320" w:bottom="1440" w:gutter="0" w:footer="0" w:header="0"/>
        </w:sectPr>
      </w:pPr>
    </w:p>
    <w:p>
      <w:pPr>
        <w:spacing w:after="0" w:line="4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42-1520346</w:t>
      </w:r>
    </w:p>
    <w:p>
      <w:pPr>
        <w:spacing w:after="0" w:line="1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19" w:lineRule="exact"/>
        <w:rPr>
          <w:sz w:val="24"/>
          <w:szCs w:val="24"/>
          <w:color w:val="auto"/>
        </w:rPr>
      </w:pPr>
    </w:p>
    <w:p>
      <w:pPr>
        <w:sectPr>
          <w:pgSz w:w="11900" w:h="16840" w:orient="portrait"/>
          <w:cols w:equalWidth="0" w:num="2">
            <w:col w:w="5060" w:space="720"/>
            <w:col w:w="3520"/>
          </w:cols>
          <w:pgMar w:left="1280" w:top="557" w:right="132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711 High Street, Des Moines, Iowa 50392</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(515) 247-5111</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69850</wp:posOffset>
            </wp:positionV>
            <wp:extent cx="14789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40" w:orient="portrait"/>
          <w:cols w:equalWidth="0" w:num="1">
            <w:col w:w="9300"/>
          </w:cols>
          <w:pgMar w:left="1280" w:top="557" w:right="1320" w:bottom="1440" w:gutter="0" w:footer="0" w:header="0"/>
          <w:type w:val="continuous"/>
        </w:sectPr>
      </w:pPr>
    </w:p>
    <w:p>
      <w:pPr>
        <w:spacing w:after="0" w:line="9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3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Stock</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p>
      <w:pPr>
        <w:spacing w:after="0" w:line="3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PFG</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3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50" w:lineRule="exact"/>
        <w:rPr>
          <w:sz w:val="24"/>
          <w:szCs w:val="24"/>
          <w:color w:val="auto"/>
        </w:rPr>
      </w:pPr>
    </w:p>
    <w:p>
      <w:pPr>
        <w:sectPr>
          <w:pgSz w:w="11900" w:h="16840" w:orient="portrait"/>
          <w:cols w:equalWidth="0" w:num="3">
            <w:col w:w="3360" w:space="720"/>
            <w:col w:w="1600" w:space="720"/>
            <w:col w:w="2900"/>
          </w:cols>
          <w:pgMar w:left="1280" w:top="557" w:right="1320" w:bottom="1440" w:gutter="0" w:footer="0" w:header="0"/>
          <w:type w:val="continuous"/>
        </w:sectPr>
      </w:pPr>
    </w:p>
    <w:p>
      <w:pPr>
        <w:ind w:right="4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p>
      <w:pPr>
        <w:spacing w:after="0" w:line="184" w:lineRule="exact"/>
        <w:tabs>
          <w:tab w:leader="none" w:pos="1840" w:val="left"/>
          <w:tab w:leader="none" w:pos="3300" w:val="left"/>
          <w:tab w:leader="none" w:pos="5020" w:val="left"/>
          <w:tab w:leader="none" w:pos="72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ind w:right="1160"/>
        <w:spacing w:after="0" w:line="2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total number of shares of the registrant’s Common Stock, $0.01 par value, outstanding as of April 23, 2025, was 224,190,774.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504825</wp:posOffset>
            </wp:positionV>
            <wp:extent cx="591502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5025" cy="152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wp:posOffset>
            </wp:positionV>
            <wp:extent cx="59302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3026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85090</wp:posOffset>
            </wp:positionV>
            <wp:extent cx="5930265"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30265" cy="30480"/>
                    </a:xfrm>
                    <a:prstGeom prst="rect">
                      <a:avLst/>
                    </a:prstGeom>
                    <a:noFill/>
                  </pic:spPr>
                </pic:pic>
              </a:graphicData>
            </a:graphic>
          </wp:anchor>
        </w:drawing>
      </w:r>
    </w:p>
    <w:p>
      <w:pPr>
        <w:sectPr>
          <w:pgSz w:w="11900" w:h="16840" w:orient="portrait"/>
          <w:cols w:equalWidth="0" w:num="1">
            <w:col w:w="9300"/>
          </w:cols>
          <w:pgMar w:left="1280" w:top="557" w:right="1320"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18"/>
            <w:vMerge w:val="restart"/>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Part I - FINANCIAL INFORMATION</w:t>
              </w:r>
            </w:hyperlink>
          </w:p>
        </w:tc>
        <w:tc>
          <w:tcPr>
            <w:tcW w:w="6440" w:type="dxa"/>
            <w:vAlign w:val="bottom"/>
            <w:gridSpan w:val="26"/>
            <w:vMerge w:val="restart"/>
          </w:tcPr>
          <w:p>
            <w:pPr>
              <w:spacing w:after="0"/>
              <w:rPr>
                <w:sz w:val="14"/>
                <w:szCs w:val="14"/>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41"/>
        </w:trPr>
        <w:tc>
          <w:tcPr>
            <w:tcW w:w="2440" w:type="dxa"/>
            <w:vAlign w:val="bottom"/>
            <w:tcBorders>
              <w:bottom w:val="single" w:sz="8" w:color="0000EE"/>
            </w:tcBorders>
            <w:gridSpan w:val="18"/>
            <w:vMerge w:val="continue"/>
          </w:tcPr>
          <w:p>
            <w:pPr>
              <w:spacing w:after="0"/>
              <w:rPr>
                <w:sz w:val="11"/>
                <w:szCs w:val="11"/>
                <w:color w:val="auto"/>
              </w:rPr>
            </w:pPr>
          </w:p>
        </w:tc>
        <w:tc>
          <w:tcPr>
            <w:tcW w:w="6440" w:type="dxa"/>
            <w:vAlign w:val="bottom"/>
            <w:gridSpan w:val="26"/>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1.</w:t>
              </w:r>
            </w:hyperlink>
          </w:p>
        </w:tc>
        <w:tc>
          <w:tcPr>
            <w:tcW w:w="320" w:type="dxa"/>
            <w:vAlign w:val="bottom"/>
            <w:gridSpan w:val="2"/>
          </w:tcPr>
          <w:p>
            <w:pPr>
              <w:spacing w:after="0"/>
              <w:rPr>
                <w:sz w:val="22"/>
                <w:szCs w:val="22"/>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Financial Statements</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Financial Position as of March 31, 2025 (Unaudited) and December 31, 2024</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80" w:type="dxa"/>
            <w:vAlign w:val="bottom"/>
            <w:tcBorders>
              <w:top w:val="single" w:sz="8" w:color="0000EE"/>
            </w:tcBorders>
            <w:gridSpan w:val="36"/>
          </w:tcPr>
          <w:p>
            <w:pPr>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Unaudited Condensed Consolidated Statements of Operations for the three months ended March 31, 2025 and 2024</w:t>
              </w:r>
            </w:hyperlink>
          </w:p>
        </w:tc>
        <w:tc>
          <w:tcPr>
            <w:tcW w:w="600" w:type="dxa"/>
            <w:vAlign w:val="bottom"/>
            <w:gridSpan w:val="3"/>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Unaudited Condensed Consolidated Statements of Comprehensive Income for the three months ended March 31, 2025 and</w:t>
              </w:r>
            </w:hyperlink>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EE"/>
            </w:tcBorders>
            <w:gridSpan w:val="3"/>
          </w:tcPr>
          <w:p>
            <w:pPr>
              <w:jc w:val="right"/>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2024</w:t>
              </w:r>
            </w:hyperlink>
          </w:p>
        </w:tc>
        <w:tc>
          <w:tcPr>
            <w:tcW w:w="1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6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Unaudited Condensed Consolidated Statements of Stockholders’ Equity for the three months ended March 31, 2025 and</w:t>
              </w:r>
            </w:hyperlink>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EE"/>
            </w:tcBorders>
            <w:gridSpan w:val="3"/>
          </w:tcPr>
          <w:p>
            <w:pPr>
              <w:jc w:val="right"/>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2024</w:t>
              </w:r>
            </w:hyperlink>
          </w:p>
        </w:tc>
        <w:tc>
          <w:tcPr>
            <w:tcW w:w="1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6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Unaudited Condensed Consolidated Statements of Cash Flows for the three months ended March 31, 2025 and 2024</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40" w:type="dxa"/>
            <w:vAlign w:val="bottom"/>
            <w:tcBorders>
              <w:top w:val="single" w:sz="8" w:color="0000EE"/>
            </w:tcBorders>
            <w:gridSpan w:val="3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Unaudited Condensed Consolidated Financial Statements — March 31, 2025</w:t>
              </w:r>
            </w:hyperlink>
          </w:p>
        </w:tc>
        <w:tc>
          <w:tcPr>
            <w:tcW w:w="640" w:type="dxa"/>
            <w:vAlign w:val="bottom"/>
            <w:gridSpan w:val="4"/>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top w:val="single" w:sz="8" w:color="0000EE"/>
            </w:tcBorders>
            <w:gridSpan w:val="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w:t>
              </w:r>
            </w:hyperlink>
          </w:p>
        </w:tc>
        <w:tc>
          <w:tcPr>
            <w:tcW w:w="5040" w:type="dxa"/>
            <w:vAlign w:val="bottom"/>
            <w:tcBorders>
              <w:top w:val="single" w:sz="8" w:color="0000EE"/>
            </w:tcBorders>
            <w:gridSpan w:val="2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Nature of Operations and Significant Accounting Policies</w:t>
              </w:r>
            </w:hyperlink>
          </w:p>
        </w:tc>
        <w:tc>
          <w:tcPr>
            <w:tcW w:w="2540" w:type="dxa"/>
            <w:vAlign w:val="bottom"/>
            <w:gridSpan w:val="7"/>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w:t>
              </w:r>
            </w:hyperlink>
          </w:p>
        </w:tc>
        <w:tc>
          <w:tcPr>
            <w:tcW w:w="360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Other Intangible Assets</w:t>
              </w:r>
            </w:hyperlink>
          </w:p>
        </w:tc>
        <w:tc>
          <w:tcPr>
            <w:tcW w:w="1680" w:type="dxa"/>
            <w:vAlign w:val="bottom"/>
            <w:gridSpan w:val="2"/>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3.</w:t>
              </w:r>
            </w:hyperlink>
          </w:p>
        </w:tc>
        <w:tc>
          <w:tcPr>
            <w:tcW w:w="148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EE"/>
                <w:w w:val="91"/>
              </w:rPr>
            </w:pPr>
            <w:hyperlink w:anchor="page1">
              <w:r>
                <w:rPr>
                  <w:rFonts w:ascii="Times New Roman" w:cs="Times New Roman" w:eastAsia="Times New Roman" w:hAnsi="Times New Roman"/>
                  <w:sz w:val="16"/>
                  <w:szCs w:val="16"/>
                  <w:color w:val="0000EE"/>
                  <w:w w:val="91"/>
                </w:rPr>
                <w:t>Variable Interest Entities</w:t>
              </w:r>
            </w:hyperlink>
          </w:p>
        </w:tc>
        <w:tc>
          <w:tcPr>
            <w:tcW w:w="8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4.</w:t>
              </w:r>
            </w:hyperlink>
          </w:p>
        </w:tc>
        <w:tc>
          <w:tcPr>
            <w:tcW w:w="1560" w:type="dxa"/>
            <w:vAlign w:val="bottom"/>
            <w:gridSpan w:val="1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Investments</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5.</w:t>
              </w:r>
            </w:hyperlink>
          </w:p>
        </w:tc>
        <w:tc>
          <w:tcPr>
            <w:tcW w:w="76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Derivative</w:t>
              </w:r>
            </w:hyperlink>
          </w:p>
        </w:tc>
        <w:tc>
          <w:tcPr>
            <w:tcW w:w="6820" w:type="dxa"/>
            <w:vAlign w:val="bottom"/>
            <w:gridSpan w:val="3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Financial Instruments</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6.</w:t>
              </w:r>
            </w:hyperlink>
          </w:p>
        </w:tc>
        <w:tc>
          <w:tcPr>
            <w:tcW w:w="20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Deferred Acquisition Costs and</w:t>
              </w:r>
            </w:hyperlink>
          </w:p>
        </w:tc>
        <w:tc>
          <w:tcPr>
            <w:tcW w:w="5540" w:type="dxa"/>
            <w:vAlign w:val="bottom"/>
            <w:gridSpan w:val="1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Other Actuarial Balances</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7.</w:t>
              </w:r>
            </w:hyperlink>
          </w:p>
        </w:tc>
        <w:tc>
          <w:tcPr>
            <w:tcW w:w="358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Separate Account Balances</w:t>
              </w:r>
            </w:hyperlink>
          </w:p>
        </w:tc>
        <w:tc>
          <w:tcPr>
            <w:tcW w:w="1700" w:type="dxa"/>
            <w:vAlign w:val="bottom"/>
            <w:gridSpan w:val="3"/>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8.</w:t>
              </w:r>
            </w:hyperlink>
          </w:p>
        </w:tc>
        <w:tc>
          <w:tcPr>
            <w:tcW w:w="170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Contractholder Funds</w:t>
              </w:r>
            </w:hyperlink>
          </w:p>
        </w:tc>
        <w:tc>
          <w:tcPr>
            <w:tcW w:w="10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9.</w:t>
              </w:r>
            </w:hyperlink>
          </w:p>
        </w:tc>
        <w:tc>
          <w:tcPr>
            <w:tcW w:w="136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Future Policy Benefits</w:t>
              </w:r>
            </w:hyperlink>
          </w:p>
        </w:tc>
        <w:tc>
          <w:tcPr>
            <w:tcW w:w="6220" w:type="dxa"/>
            <w:vAlign w:val="bottom"/>
            <w:gridSpan w:val="22"/>
          </w:tcPr>
          <w:p>
            <w:pPr>
              <w:ind w:left="8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and Claims</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10.</w:t>
              </w:r>
            </w:hyperlink>
          </w:p>
        </w:tc>
        <w:tc>
          <w:tcPr>
            <w:tcW w:w="214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Risk Benefits</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11.</w:t>
              </w:r>
            </w:hyperlink>
          </w:p>
        </w:tc>
        <w:tc>
          <w:tcPr>
            <w:tcW w:w="13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Reinsurance</w:t>
              </w:r>
            </w:hyperlink>
          </w:p>
        </w:tc>
        <w:tc>
          <w:tcPr>
            <w:tcW w:w="26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12.</w:t>
              </w:r>
            </w:hyperlink>
          </w:p>
        </w:tc>
        <w:tc>
          <w:tcPr>
            <w:tcW w:w="78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Long-Term</w:t>
              </w:r>
            </w:hyperlink>
          </w:p>
        </w:tc>
        <w:tc>
          <w:tcPr>
            <w:tcW w:w="6800" w:type="dxa"/>
            <w:vAlign w:val="bottom"/>
            <w:gridSpan w:val="3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Debt</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13.</w:t>
              </w:r>
            </w:hyperlink>
          </w:p>
        </w:tc>
        <w:tc>
          <w:tcPr>
            <w:tcW w:w="106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Income Taxes</w:t>
              </w:r>
            </w:hyperlink>
          </w:p>
        </w:tc>
        <w:tc>
          <w:tcPr>
            <w:tcW w:w="1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14.</w:t>
              </w:r>
            </w:hyperlink>
          </w:p>
        </w:tc>
        <w:tc>
          <w:tcPr>
            <w:tcW w:w="90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Employee and</w:t>
              </w:r>
            </w:hyperlink>
          </w:p>
        </w:tc>
        <w:tc>
          <w:tcPr>
            <w:tcW w:w="6680" w:type="dxa"/>
            <w:vAlign w:val="bottom"/>
            <w:gridSpan w:val="29"/>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Agent Benefits</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vMerge w:val="restart"/>
          </w:tcPr>
          <w:p>
            <w:pPr>
              <w:spacing w:after="0" w:line="18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15.</w:t>
              </w:r>
            </w:hyperlink>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60" w:type="dxa"/>
            <w:vAlign w:val="bottom"/>
            <w:gridSpan w:val="2"/>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580" w:type="dxa"/>
            <w:vAlign w:val="bottom"/>
            <w:gridSpan w:val="3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Contingencies, Guarantees and Indemnifications</w:t>
              </w:r>
            </w:hyperlink>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16.</w:t>
              </w:r>
            </w:hyperlink>
          </w:p>
        </w:tc>
        <w:tc>
          <w:tcPr>
            <w:tcW w:w="132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Stockholders’ Equity</w:t>
              </w:r>
            </w:hyperlink>
          </w:p>
        </w:tc>
        <w:tc>
          <w:tcPr>
            <w:tcW w:w="1700" w:type="dxa"/>
            <w:vAlign w:val="bottom"/>
            <w:tcBorders>
              <w:top w:val="single" w:sz="8" w:color="0000EE"/>
            </w:tcBorders>
            <w:gridSpan w:val="12"/>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17.</w:t>
              </w:r>
            </w:hyperlink>
          </w:p>
        </w:tc>
        <w:tc>
          <w:tcPr>
            <w:tcW w:w="7580" w:type="dxa"/>
            <w:vAlign w:val="bottom"/>
            <w:gridSpan w:val="3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Fair Value Measurements</w:t>
              </w:r>
            </w:hyperlink>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18.</w:t>
              </w:r>
            </w:hyperlink>
          </w:p>
        </w:tc>
        <w:tc>
          <w:tcPr>
            <w:tcW w:w="16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Segment Information</w:t>
              </w:r>
            </w:hyperlink>
          </w:p>
        </w:tc>
        <w:tc>
          <w:tcPr>
            <w:tcW w:w="20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8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vMerge w:val="restart"/>
          </w:tcPr>
          <w:p>
            <w:pPr>
              <w:spacing w:after="0" w:line="18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19.</w:t>
              </w:r>
            </w:hyperlink>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60" w:type="dxa"/>
            <w:vAlign w:val="bottom"/>
            <w:gridSpan w:val="2"/>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line="20" w:lineRule="exact"/>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7580" w:type="dxa"/>
            <w:vAlign w:val="bottom"/>
            <w:gridSpan w:val="3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Revenues from Contracts with Customers</w:t>
              </w:r>
            </w:hyperlink>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w:t>
              </w:r>
            </w:hyperlink>
          </w:p>
        </w:tc>
        <w:tc>
          <w:tcPr>
            <w:tcW w:w="26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Stock-Based Compensation Plans</w:t>
              </w:r>
            </w:hyperlink>
          </w:p>
        </w:tc>
        <w:tc>
          <w:tcPr>
            <w:tcW w:w="8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21.</w:t>
              </w:r>
            </w:hyperlink>
          </w:p>
        </w:tc>
        <w:tc>
          <w:tcPr>
            <w:tcW w:w="21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Earnings Per Common Share</w:t>
              </w:r>
            </w:hyperlink>
          </w:p>
        </w:tc>
        <w:tc>
          <w:tcPr>
            <w:tcW w:w="13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4"/>
          </w:tcPr>
          <w:p>
            <w:pPr>
              <w:spacing w:after="0"/>
              <w:rPr>
                <w:sz w:val="13"/>
                <w:szCs w:val="13"/>
                <w:color w:val="auto"/>
              </w:rPr>
            </w:pPr>
          </w:p>
        </w:tc>
        <w:tc>
          <w:tcPr>
            <w:tcW w:w="2300" w:type="dxa"/>
            <w:vAlign w:val="bottom"/>
            <w:gridSpan w:val="6"/>
          </w:tcPr>
          <w:p>
            <w:pPr>
              <w:spacing w:after="0"/>
              <w:rPr>
                <w:sz w:val="13"/>
                <w:szCs w:val="13"/>
                <w:color w:val="auto"/>
              </w:rPr>
            </w:pPr>
          </w:p>
        </w:tc>
        <w:tc>
          <w:tcPr>
            <w:tcW w:w="4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2.</w:t>
              </w:r>
            </w:hyperlink>
          </w:p>
        </w:tc>
        <w:tc>
          <w:tcPr>
            <w:tcW w:w="320" w:type="dxa"/>
            <w:vAlign w:val="bottom"/>
            <w:gridSpan w:val="2"/>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 Results of Operation</w:t>
              </w:r>
            </w:hyperlink>
            <w:r>
              <w:rPr>
                <w:rFonts w:ascii="Times New Roman" w:cs="Times New Roman" w:eastAsia="Times New Roman" w:hAnsi="Times New Roman"/>
                <w:sz w:val="16"/>
                <w:szCs w:val="16"/>
                <w:color w:val="0000EE"/>
              </w:rPr>
              <w: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0" w:type="dxa"/>
            <w:vAlign w:val="bottom"/>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3.</w:t>
              </w:r>
            </w:hyperlink>
          </w:p>
        </w:tc>
        <w:tc>
          <w:tcPr>
            <w:tcW w:w="320" w:type="dxa"/>
            <w:vAlign w:val="bottom"/>
            <w:gridSpan w:val="2"/>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Quantitative and Qualitative Disclosures about Market Risk</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4.</w:t>
              </w:r>
            </w:hyperlink>
          </w:p>
        </w:tc>
        <w:tc>
          <w:tcPr>
            <w:tcW w:w="320" w:type="dxa"/>
            <w:vAlign w:val="bottom"/>
            <w:gridSpan w:val="2"/>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Controls and Procedures</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20" w:type="dxa"/>
            <w:vAlign w:val="bottom"/>
            <w:gridSpan w:val="15"/>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880" w:type="dxa"/>
            <w:vAlign w:val="bottom"/>
            <w:gridSpan w:val="4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Part II — OTHER INFORMATION</w:t>
              </w:r>
            </w:hyperlink>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1.</w:t>
              </w:r>
            </w:hyperlink>
          </w:p>
        </w:tc>
        <w:tc>
          <w:tcPr>
            <w:tcW w:w="320" w:type="dxa"/>
            <w:vAlign w:val="bottom"/>
            <w:tcBorders>
              <w:top w:val="single" w:sz="8" w:color="0000EE"/>
            </w:tcBorders>
            <w:gridSpan w:val="2"/>
          </w:tcPr>
          <w:p>
            <w:pPr>
              <w:spacing w:after="0"/>
              <w:rPr>
                <w:sz w:val="21"/>
                <w:szCs w:val="21"/>
                <w:color w:val="auto"/>
              </w:rPr>
            </w:pPr>
          </w:p>
        </w:tc>
        <w:tc>
          <w:tcPr>
            <w:tcW w:w="130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Legal Proceedings</w:t>
              </w:r>
            </w:hyperlink>
          </w:p>
        </w:tc>
        <w:tc>
          <w:tcPr>
            <w:tcW w:w="6580" w:type="dxa"/>
            <w:vAlign w:val="bottom"/>
            <w:gridSpan w:val="28"/>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20" w:type="dxa"/>
            <w:vAlign w:val="bottom"/>
            <w:tcBorders>
              <w:left w:val="single" w:sz="8" w:color="0000EE"/>
            </w:tcBorders>
            <w:gridSpan w:val="20"/>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780" w:type="dxa"/>
            <w:vAlign w:val="bottom"/>
            <w:gridSpan w:val="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1A.</w:t>
              </w:r>
            </w:hyperlink>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20" w:type="dxa"/>
            <w:vAlign w:val="bottom"/>
            <w:gridSpan w:val="20"/>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2.</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Unregistered Sales of Equity Securities and Use of Proceeds</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20" w:type="dxa"/>
            <w:vAlign w:val="bottom"/>
            <w:tcBorders>
              <w:left w:val="single" w:sz="8" w:color="0000EE"/>
            </w:tcBorders>
            <w:gridSpan w:val="20"/>
            <w:shd w:val="clear" w:color="auto" w:fill="0000EE"/>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5.</w:t>
              </w:r>
            </w:hyperlink>
          </w:p>
        </w:tc>
        <w:tc>
          <w:tcPr>
            <w:tcW w:w="320" w:type="dxa"/>
            <w:vAlign w:val="bottom"/>
            <w:gridSpan w:val="2"/>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Other Information</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6740" w:type="dxa"/>
            <w:vAlign w:val="bottom"/>
            <w:gridSpan w:val="3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460" w:type="dxa"/>
            <w:vAlign w:val="bottom"/>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6.</w:t>
              </w:r>
            </w:hyperlink>
          </w:p>
        </w:tc>
        <w:tc>
          <w:tcPr>
            <w:tcW w:w="320" w:type="dxa"/>
            <w:vAlign w:val="bottom"/>
            <w:gridSpan w:val="2"/>
          </w:tcPr>
          <w:p>
            <w:pPr>
              <w:spacing w:after="0"/>
              <w:rPr>
                <w:sz w:val="21"/>
                <w:szCs w:val="21"/>
                <w:color w:val="auto"/>
              </w:rPr>
            </w:pPr>
          </w:p>
        </w:tc>
        <w:tc>
          <w:tcPr>
            <w:tcW w:w="7880" w:type="dxa"/>
            <w:vAlign w:val="bottom"/>
            <w:gridSpan w:val="3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Exhibits</w:t>
              </w:r>
            </w:hyperlink>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0" w:type="dxa"/>
            <w:vAlign w:val="bottom"/>
            <w:gridSpan w:val="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Signature</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602"/>
        </w:trPr>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25"/>
          </w:tcPr>
          <w:p>
            <w:pPr>
              <w:ind w:left="33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Financial Position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(Unaudited)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i w:val="1"/>
                <w:iCs w:val="1"/>
                <w:color w:val="auto"/>
              </w:rPr>
              <w:t>(in millions, except share amounts)</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 maturities, available-for-sale (1)</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69,726.7</w:t>
            </w:r>
          </w:p>
        </w:tc>
        <w:tc>
          <w:tcPr>
            <w:tcW w:w="2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68,251.0</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maturities, trading (2025 and 2024 include $208.0 million and $205.9 million related to consolidated variable interest entities)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1,307.2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securities (2025 and 2024 include $374.8 million and $367.9 million related to consolidated variable interest entities)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2,428.9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2,295.0</w:t>
            </w:r>
          </w:p>
        </w:tc>
        <w:tc>
          <w:tcPr>
            <w:tcW w:w="0" w:type="dxa"/>
            <w:vAlign w:val="bottom"/>
          </w:tcPr>
          <w:p>
            <w:pPr>
              <w:spacing w:after="0"/>
              <w:rPr>
                <w:sz w:val="1"/>
                <w:szCs w:val="1"/>
                <w:color w:val="auto"/>
              </w:rPr>
            </w:pPr>
          </w:p>
        </w:tc>
      </w:tr>
      <w:tr>
        <w:trPr>
          <w:trHeight w:val="133"/>
        </w:trPr>
        <w:tc>
          <w:tcPr>
            <w:tcW w:w="70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Mortgage loans (2025 and 2024 include $788.1 million and $944.5 million related to consolidated variable interest entities and  $0.0 million</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20,260.6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and $140.6 million measured at fair value under the fair value option)</w:t>
            </w:r>
          </w:p>
        </w:tc>
        <w:tc>
          <w:tcPr>
            <w:tcW w:w="1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20,484.2</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Real estate (2025 and 2024 include $804.1 million and $781.8 million related to consolidated variable interest entities)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2,480.1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2,464.5</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Policy loans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867.5</w:t>
            </w:r>
          </w:p>
        </w:tc>
        <w:tc>
          <w:tcPr>
            <w:tcW w:w="0" w:type="dxa"/>
            <w:vAlign w:val="bottom"/>
          </w:tcPr>
          <w:p>
            <w:pPr>
              <w:spacing w:after="0"/>
              <w:rPr>
                <w:sz w:val="1"/>
                <w:szCs w:val="1"/>
                <w:color w:val="auto"/>
              </w:rPr>
            </w:pPr>
          </w:p>
        </w:tc>
      </w:tr>
      <w:tr>
        <w:trPr>
          <w:trHeight w:val="133"/>
        </w:trPr>
        <w:tc>
          <w:tcPr>
            <w:tcW w:w="70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Other investments (2025 and 2024 include $630.0 million and $625.6 million related to consolidated variable interest entities and  $116.8</w:t>
            </w: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8,215.4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million and $129.0 million measured at fair value under the fair value option)</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7,990.3</w:t>
            </w:r>
          </w:p>
        </w:tc>
        <w:tc>
          <w:tcPr>
            <w:tcW w:w="0" w:type="dxa"/>
            <w:vAlign w:val="bottom"/>
          </w:tcPr>
          <w:p>
            <w:pPr>
              <w:spacing w:after="0"/>
              <w:rPr>
                <w:sz w:val="1"/>
                <w:szCs w:val="1"/>
                <w:color w:val="auto"/>
              </w:rPr>
            </w:pPr>
          </w:p>
        </w:tc>
      </w:tr>
      <w:tr>
        <w:trPr>
          <w:trHeight w:val="136"/>
        </w:trPr>
        <w:tc>
          <w:tcPr>
            <w:tcW w:w="706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investments</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105,294.6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103,375.8</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 (2025 and 2024 include $97.8 million and $86.1 million related to consolidated variable interest entities)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3,875.7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4,211.9</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investment income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828.6</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Reinsurance recoverable and deposit receivable</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19,392.6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19,490.1</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due and other receivables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3,726.0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3,771.5</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acquisition costs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4,034.1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4,006.9</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 risk benefit asset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199.5</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769.4</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1,567.4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1,549.7</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intangibles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1,290.5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1,389.9</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Separate account assets (2025 and 2024 include $34,658.5 million and $32,802.2 million related to consolidated variable interest entities)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171,266.2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173,327.1</w:t>
            </w:r>
          </w:p>
        </w:tc>
        <w:tc>
          <w:tcPr>
            <w:tcW w:w="0" w:type="dxa"/>
            <w:vAlign w:val="bottom"/>
          </w:tcPr>
          <w:p>
            <w:pPr>
              <w:spacing w:after="0"/>
              <w:rPr>
                <w:sz w:val="1"/>
                <w:szCs w:val="1"/>
                <w:color w:val="auto"/>
              </w:rPr>
            </w:pPr>
          </w:p>
        </w:tc>
      </w:tr>
      <w:tr>
        <w:trPr>
          <w:trHeight w:val="144"/>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767.4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743.2</w:t>
            </w:r>
          </w:p>
        </w:tc>
        <w:tc>
          <w:tcPr>
            <w:tcW w:w="0" w:type="dxa"/>
            <w:vAlign w:val="bottom"/>
          </w:tcPr>
          <w:p>
            <w:pPr>
              <w:spacing w:after="0"/>
              <w:rPr>
                <w:sz w:val="1"/>
                <w:szCs w:val="1"/>
                <w:color w:val="auto"/>
              </w:rPr>
            </w:pPr>
          </w:p>
        </w:tc>
      </w:tr>
      <w:tr>
        <w:trPr>
          <w:trHeight w:val="136"/>
        </w:trPr>
        <w:tc>
          <w:tcPr>
            <w:tcW w:w="7060" w:type="dxa"/>
            <w:vAlign w:val="bottom"/>
            <w:tcBorders>
              <w:bottom w:val="single" w:sz="8" w:color="CCEEFF"/>
            </w:tcBorders>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313,003.3</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313,663.6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Contractholder funds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43,266.0</w:t>
            </w: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43,099.6</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Future policy benefits and claims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49,359.4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48,179.4</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 risk benefit liability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policyholder funds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933.2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966.4</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debt (2025 and 2024 include $0.0 million and $119.0 million related to consolidated variable interest entities)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4,321.3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3,955.3</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 currently payable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1,786.6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1,706.0</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Separate account liabilities (2025 and 2024 include $34,658.5 million and $32,802.2 million related to consolidated variable interest entities)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171,266.2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173,327.1</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Funds withheld payable</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18,212.3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18,103.7</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 (2025 and 2024 include $84.5 million and $108.8 million related to consolidated variable interest entities)</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12,145.8</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12,633.7</w:t>
            </w:r>
          </w:p>
        </w:tc>
        <w:tc>
          <w:tcPr>
            <w:tcW w:w="0" w:type="dxa"/>
            <w:vAlign w:val="bottom"/>
          </w:tcPr>
          <w:p>
            <w:pPr>
              <w:spacing w:after="0"/>
              <w:rPr>
                <w:sz w:val="1"/>
                <w:szCs w:val="1"/>
                <w:color w:val="auto"/>
              </w:rPr>
            </w:pPr>
          </w:p>
        </w:tc>
      </w:tr>
      <w:tr>
        <w:trPr>
          <w:trHeight w:val="136"/>
        </w:trPr>
        <w:tc>
          <w:tcPr>
            <w:tcW w:w="70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301,408.3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302,194.6</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Redeemable noncontrolling interest (2025 and 2024 include $298.8 million and $309.9 million related to consolidated variable interest</w:t>
            </w: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326.7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entities)</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337.7</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Common stock, par value $0.01 per share; 2,500,000,000 shares authorized; 496,370,158 and 494,734,908 shares issued as of 2025 and 2024;</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224,971,715 and 226,225,161 shares outstanding as of 2025 and 2024</w:t>
            </w:r>
          </w:p>
        </w:tc>
        <w:tc>
          <w:tcPr>
            <w:tcW w:w="1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11,157.8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11,100.9</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Retained earnings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17,459.3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17,583.5</w:t>
            </w:r>
          </w:p>
        </w:tc>
        <w:tc>
          <w:tcPr>
            <w:tcW w:w="0" w:type="dxa"/>
            <w:vAlign w:val="bottom"/>
          </w:tcPr>
          <w:p>
            <w:pPr>
              <w:spacing w:after="0"/>
              <w:rPr>
                <w:sz w:val="1"/>
                <w:szCs w:val="1"/>
                <w:color w:val="auto"/>
              </w:rPr>
            </w:pPr>
          </w:p>
        </w:tc>
      </w:tr>
      <w:tr>
        <w:trPr>
          <w:trHeight w:val="144"/>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(4,785.9)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(5,224.8)</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Treasury stock, at cost; 271,398,443 and 268,509,747 shares as of 2025 and 2024</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(12,619.4)</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(12,378.1)</w:t>
            </w:r>
          </w:p>
        </w:tc>
        <w:tc>
          <w:tcPr>
            <w:tcW w:w="0" w:type="dxa"/>
            <w:vAlign w:val="bottom"/>
          </w:tcPr>
          <w:p>
            <w:pPr>
              <w:spacing w:after="0"/>
              <w:rPr>
                <w:sz w:val="1"/>
                <w:szCs w:val="1"/>
                <w:color w:val="auto"/>
              </w:rPr>
            </w:pPr>
          </w:p>
        </w:tc>
      </w:tr>
      <w:tr>
        <w:trPr>
          <w:trHeight w:val="136"/>
        </w:trPr>
        <w:tc>
          <w:tcPr>
            <w:tcW w:w="70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stockholders’ equity attributable to Principal Financial Group, Inc.</w:t>
            </w:r>
          </w:p>
        </w:tc>
        <w:tc>
          <w:tcPr>
            <w:tcW w:w="16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11,216.8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11,086.4</w:t>
            </w:r>
          </w:p>
        </w:tc>
        <w:tc>
          <w:tcPr>
            <w:tcW w:w="0" w:type="dxa"/>
            <w:vAlign w:val="bottom"/>
          </w:tcPr>
          <w:p>
            <w:pPr>
              <w:spacing w:after="0"/>
              <w:rPr>
                <w:sz w:val="1"/>
                <w:szCs w:val="1"/>
                <w:color w:val="auto"/>
              </w:rPr>
            </w:pPr>
          </w:p>
        </w:tc>
      </w:tr>
      <w:tr>
        <w:trPr>
          <w:trHeight w:val="144"/>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51.5</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0" w:type="dxa"/>
            <w:vAlign w:val="bottom"/>
          </w:tcPr>
          <w:p>
            <w:pPr>
              <w:spacing w:after="0"/>
              <w:rPr>
                <w:sz w:val="1"/>
                <w:szCs w:val="1"/>
                <w:color w:val="auto"/>
              </w:rPr>
            </w:pPr>
          </w:p>
        </w:tc>
      </w:tr>
      <w:tr>
        <w:trPr>
          <w:trHeight w:val="136"/>
        </w:trPr>
        <w:tc>
          <w:tcPr>
            <w:tcW w:w="7060" w:type="dxa"/>
            <w:vAlign w:val="bottom"/>
            <w:tcBorders>
              <w:bottom w:val="single" w:sz="8" w:color="CCEEFF"/>
            </w:tcBorders>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11,268.3</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11,131.3</w:t>
            </w:r>
          </w:p>
        </w:tc>
        <w:tc>
          <w:tcPr>
            <w:tcW w:w="0" w:type="dxa"/>
            <w:vAlign w:val="bottom"/>
          </w:tcPr>
          <w:p>
            <w:pPr>
              <w:spacing w:after="0"/>
              <w:rPr>
                <w:sz w:val="1"/>
                <w:szCs w:val="1"/>
                <w:color w:val="auto"/>
              </w:rPr>
            </w:pPr>
          </w:p>
        </w:tc>
      </w:tr>
      <w:tr>
        <w:trPr>
          <w:trHeight w:val="136"/>
        </w:trPr>
        <w:tc>
          <w:tcPr>
            <w:tcW w:w="7060" w:type="dxa"/>
            <w:vAlign w:val="bottom"/>
            <w:tcBorders>
              <w:bottom w:val="single" w:sz="8" w:color="CCEEFF"/>
            </w:tcBorders>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313,003.3</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313,663.6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2"/>
          <w:szCs w:val="12"/>
          <w:color w:val="auto"/>
        </w:rPr>
        <w:t>(1)</w:t>
        <w:tab/>
        <w:t>See Note 4, Investments, for further details relating to the amortized cost of fixed maturities, available-for-sale.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0"/>
        </w:trPr>
        <w:tc>
          <w:tcPr>
            <w:tcW w:w="23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54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2"/>
                <w:szCs w:val="12"/>
                <w:color w:val="auto"/>
              </w:rPr>
            </w:pPr>
          </w:p>
        </w:tc>
      </w:tr>
      <w:tr>
        <w:trPr>
          <w:trHeight w:val="136"/>
        </w:trPr>
        <w:tc>
          <w:tcPr>
            <w:tcW w:w="23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gridSpan w:val="6"/>
          </w:tcPr>
          <w:p>
            <w:pPr>
              <w:jc w:val="center"/>
              <w:ind w:right="18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 except per share data)</w:t>
            </w: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1,751.3</w:t>
            </w:r>
          </w:p>
        </w:tc>
        <w:tc>
          <w:tcPr>
            <w:tcW w:w="100" w:type="dxa"/>
            <w:vAlign w:val="bottom"/>
          </w:tcPr>
          <w:p>
            <w:pPr>
              <w:spacing w:after="0"/>
              <w:rPr>
                <w:sz w:val="15"/>
                <w:szCs w:val="15"/>
                <w:color w:val="auto"/>
              </w:rPr>
            </w:pPr>
          </w:p>
        </w:tc>
        <w:tc>
          <w:tcPr>
            <w:tcW w:w="40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1,684.6</w:t>
            </w:r>
          </w:p>
        </w:tc>
        <w:tc>
          <w:tcPr>
            <w:tcW w:w="20" w:type="dxa"/>
            <w:vAlign w:val="bottom"/>
          </w:tcPr>
          <w:p>
            <w:pPr>
              <w:spacing w:after="0"/>
              <w:rPr>
                <w:sz w:val="15"/>
                <w:szCs w:val="15"/>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Fees and other revenues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1,077.7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1,052.9</w:t>
            </w:r>
          </w:p>
        </w:tc>
        <w:tc>
          <w:tcPr>
            <w:tcW w:w="20" w:type="dxa"/>
            <w:vAlign w:val="bottom"/>
            <w:shd w:val="clear" w:color="auto" w:fill="CCEEFF"/>
          </w:tcPr>
          <w:p>
            <w:pPr>
              <w:spacing w:after="0"/>
              <w:rPr>
                <w:sz w:val="15"/>
                <w:szCs w:val="15"/>
                <w:color w:val="auto"/>
              </w:rPr>
            </w:pP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1,072.2</w:t>
            </w:r>
          </w:p>
        </w:tc>
        <w:tc>
          <w:tcPr>
            <w:tcW w:w="20" w:type="dxa"/>
            <w:vAlign w:val="bottom"/>
          </w:tcPr>
          <w:p>
            <w:pPr>
              <w:spacing w:after="0"/>
              <w:rPr>
                <w:sz w:val="15"/>
                <w:szCs w:val="15"/>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realized capital losses (1)</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realized capital gains on funds withheld assets (1)</w:t>
            </w:r>
          </w:p>
        </w:tc>
        <w:tc>
          <w:tcPr>
            <w:tcW w:w="1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20" w:type="dxa"/>
            <w:vAlign w:val="bottom"/>
          </w:tcPr>
          <w:p>
            <w:pPr>
              <w:spacing w:after="0"/>
              <w:rPr>
                <w:sz w:val="15"/>
                <w:szCs w:val="15"/>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funds withheld embedded derivative</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w:t>
            </w:r>
          </w:p>
        </w:tc>
        <w:tc>
          <w:tcPr>
            <w:tcW w:w="20" w:type="dxa"/>
            <w:vAlign w:val="bottom"/>
            <w:tcBorders>
              <w:bottom w:val="single" w:sz="8" w:color="auto"/>
            </w:tcBorders>
            <w:shd w:val="clear" w:color="auto" w:fill="CCEEFF"/>
          </w:tcPr>
          <w:p>
            <w:pPr>
              <w:spacing w:after="0"/>
              <w:rPr>
                <w:sz w:val="15"/>
                <w:szCs w:val="15"/>
                <w:color w:val="auto"/>
              </w:rPr>
            </w:pPr>
          </w:p>
        </w:tc>
      </w:tr>
      <w:tr>
        <w:trPr>
          <w:trHeight w:val="172"/>
        </w:trPr>
        <w:tc>
          <w:tcPr>
            <w:tcW w:w="68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3,695.9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4,053.3</w:t>
            </w:r>
          </w:p>
        </w:tc>
        <w:tc>
          <w:tcPr>
            <w:tcW w:w="20" w:type="dxa"/>
            <w:vAlign w:val="bottom"/>
          </w:tcPr>
          <w:p>
            <w:pPr>
              <w:spacing w:after="0"/>
              <w:rPr>
                <w:sz w:val="14"/>
                <w:szCs w:val="14"/>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1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2,069.7</w:t>
            </w:r>
          </w:p>
        </w:tc>
        <w:tc>
          <w:tcPr>
            <w:tcW w:w="20" w:type="dxa"/>
            <w:vAlign w:val="bottom"/>
          </w:tcPr>
          <w:p>
            <w:pPr>
              <w:spacing w:after="0"/>
              <w:rPr>
                <w:sz w:val="15"/>
                <w:szCs w:val="15"/>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 loss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remeasurement (gain) loss</w:t>
            </w:r>
          </w:p>
        </w:tc>
        <w:tc>
          <w:tcPr>
            <w:tcW w:w="1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to policyholders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20" w:type="dxa"/>
            <w:vAlign w:val="bottom"/>
            <w:shd w:val="clear" w:color="auto" w:fill="CCEEFF"/>
          </w:tcPr>
          <w:p>
            <w:pPr>
              <w:spacing w:after="0"/>
              <w:rPr>
                <w:sz w:val="15"/>
                <w:szCs w:val="15"/>
                <w:color w:val="auto"/>
              </w:rPr>
            </w:pPr>
          </w:p>
        </w:tc>
      </w:tr>
      <w:tr>
        <w:trPr>
          <w:trHeight w:val="180"/>
        </w:trPr>
        <w:tc>
          <w:tcPr>
            <w:tcW w:w="68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1,343.4</w:t>
            </w:r>
          </w:p>
        </w:tc>
        <w:tc>
          <w:tcPr>
            <w:tcW w:w="20" w:type="dxa"/>
            <w:vAlign w:val="bottom"/>
            <w:tcBorders>
              <w:bottom w:val="single" w:sz="8" w:color="auto"/>
            </w:tcBorders>
          </w:tcPr>
          <w:p>
            <w:pPr>
              <w:spacing w:after="0"/>
              <w:rPr>
                <w:sz w:val="15"/>
                <w:szCs w:val="15"/>
                <w:color w:val="auto"/>
              </w:rPr>
            </w:pPr>
          </w:p>
        </w:tc>
      </w:tr>
      <w:tr>
        <w:trPr>
          <w:trHeight w:val="172"/>
        </w:trPr>
        <w:tc>
          <w:tcPr>
            <w:tcW w:w="688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3,667.0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3,426.2</w:t>
            </w:r>
          </w:p>
        </w:tc>
        <w:tc>
          <w:tcPr>
            <w:tcW w:w="20" w:type="dxa"/>
            <w:vAlign w:val="bottom"/>
            <w:tcBorders>
              <w:bottom w:val="single" w:sz="8" w:color="auto"/>
            </w:tcBorders>
            <w:shd w:val="clear" w:color="auto" w:fill="CCEEFF"/>
          </w:tcPr>
          <w:p>
            <w:pPr>
              <w:spacing w:after="0"/>
              <w:rPr>
                <w:sz w:val="14"/>
                <w:szCs w:val="14"/>
                <w:color w:val="auto"/>
              </w:rPr>
            </w:pPr>
          </w:p>
        </w:tc>
      </w:tr>
      <w:tr>
        <w:trPr>
          <w:trHeight w:val="172"/>
        </w:trPr>
        <w:tc>
          <w:tcPr>
            <w:tcW w:w="68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627.1</w:t>
            </w:r>
          </w:p>
        </w:tc>
        <w:tc>
          <w:tcPr>
            <w:tcW w:w="20" w:type="dxa"/>
            <w:vAlign w:val="bottom"/>
          </w:tcPr>
          <w:p>
            <w:pPr>
              <w:spacing w:after="0"/>
              <w:rPr>
                <w:sz w:val="14"/>
                <w:szCs w:val="14"/>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taxes (benefits)</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20" w:type="dxa"/>
            <w:vAlign w:val="bottom"/>
            <w:shd w:val="clear" w:color="auto" w:fill="CCEEFF"/>
          </w:tcPr>
          <w:p>
            <w:pPr>
              <w:spacing w:after="0"/>
              <w:rPr>
                <w:sz w:val="15"/>
                <w:szCs w:val="15"/>
                <w:color w:val="auto"/>
              </w:rPr>
            </w:pPr>
          </w:p>
        </w:tc>
      </w:tr>
      <w:tr>
        <w:trPr>
          <w:trHeight w:val="172"/>
        </w:trPr>
        <w:tc>
          <w:tcPr>
            <w:tcW w:w="68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532.0</w:t>
            </w:r>
          </w:p>
        </w:tc>
        <w:tc>
          <w:tcPr>
            <w:tcW w:w="20" w:type="dxa"/>
            <w:vAlign w:val="bottom"/>
            <w:tcBorders>
              <w:top w:val="single" w:sz="8" w:color="auto"/>
            </w:tcBorders>
          </w:tcPr>
          <w:p>
            <w:pPr>
              <w:spacing w:after="0"/>
              <w:rPr>
                <w:sz w:val="14"/>
                <w:szCs w:val="14"/>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212"/>
        </w:trPr>
        <w:tc>
          <w:tcPr>
            <w:tcW w:w="688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Principal Financial Group, Inc.</w:t>
            </w: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532.5</w:t>
            </w:r>
          </w:p>
        </w:tc>
        <w:tc>
          <w:tcPr>
            <w:tcW w:w="20" w:type="dxa"/>
            <w:vAlign w:val="bottom"/>
            <w:tcBorders>
              <w:bottom w:val="single" w:sz="8" w:color="auto"/>
            </w:tcBorders>
          </w:tcPr>
          <w:p>
            <w:pPr>
              <w:spacing w:after="0"/>
              <w:rPr>
                <w:sz w:val="18"/>
                <w:szCs w:val="18"/>
                <w:color w:val="auto"/>
              </w:rPr>
            </w:pPr>
          </w:p>
        </w:tc>
      </w:tr>
      <w:tr>
        <w:trPr>
          <w:trHeight w:val="156"/>
        </w:trPr>
        <w:tc>
          <w:tcPr>
            <w:tcW w:w="232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6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 earnings per common share</w:t>
            </w: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0.21</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20" w:type="dxa"/>
            <w:vAlign w:val="bottom"/>
            <w:shd w:val="clear" w:color="auto" w:fill="CCEEFF"/>
          </w:tcPr>
          <w:p>
            <w:pPr>
              <w:spacing w:after="0"/>
              <w:rPr>
                <w:sz w:val="15"/>
                <w:szCs w:val="15"/>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6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 earnings per common share</w:t>
            </w: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0.21</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w:t>
            </w:r>
          </w:p>
        </w:tc>
        <w:tc>
          <w:tcPr>
            <w:tcW w:w="20" w:type="dxa"/>
            <w:vAlign w:val="bottom"/>
            <w:shd w:val="clear" w:color="auto" w:fill="CCEEFF"/>
          </w:tcPr>
          <w:p>
            <w:pPr>
              <w:spacing w:after="0"/>
              <w:rPr>
                <w:sz w:val="15"/>
                <w:szCs w:val="15"/>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4"/>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Includes realized and unrealized gains (losses). See Note 4, Investments, for further details.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72"/>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4"/>
        </w:trPr>
        <w:tc>
          <w:tcPr>
            <w:tcW w:w="6880" w:type="dxa"/>
            <w:vAlign w:val="bottom"/>
            <w:gridSpan w:val="2"/>
          </w:tcPr>
          <w:p>
            <w:pPr>
              <w:ind w:left="46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0"/>
          </w:cols>
          <w:pgMar w:left="1280" w:top="557" w:right="1280"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0"/>
        </w:trPr>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Borders>
              <w:bottom w:val="single" w:sz="8" w:color="auto"/>
            </w:tcBorders>
          </w:tcPr>
          <w:p>
            <w:pPr>
              <w:spacing w:after="0"/>
              <w:rPr>
                <w:sz w:val="14"/>
                <w:szCs w:val="14"/>
                <w:color w:val="auto"/>
              </w:rPr>
            </w:pPr>
          </w:p>
        </w:tc>
      </w:tr>
      <w:tr>
        <w:trPr>
          <w:trHeight w:val="148"/>
        </w:trPr>
        <w:tc>
          <w:tcPr>
            <w:tcW w:w="6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5"/>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2"/>
          </w:tcPr>
          <w:p>
            <w:pPr>
              <w:jc w:val="right"/>
              <w:ind w:right="2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00" w:type="dxa"/>
            <w:vAlign w:val="bottom"/>
          </w:tcPr>
          <w:p>
            <w:pPr>
              <w:spacing w:after="0"/>
              <w:rPr>
                <w:sz w:val="11"/>
                <w:szCs w:val="11"/>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62.9</w:t>
            </w:r>
          </w:p>
        </w:tc>
        <w:tc>
          <w:tcPr>
            <w:tcW w:w="540" w:type="dxa"/>
            <w:vAlign w:val="bottom"/>
            <w:gridSpan w:val="2"/>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532.0</w:t>
            </w:r>
          </w:p>
        </w:tc>
      </w:tr>
      <w:tr>
        <w:trPr>
          <w:trHeight w:val="180"/>
        </w:trPr>
        <w:tc>
          <w:tcPr>
            <w:tcW w:w="6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unrealized gains (losses) on available-for-sale securities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589.4</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(358.6)</w:t>
            </w:r>
          </w:p>
        </w:tc>
      </w:tr>
      <w:tr>
        <w:trPr>
          <w:trHeight w:val="180"/>
        </w:trPr>
        <w:tc>
          <w:tcPr>
            <w:tcW w:w="6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unrealized gains on derivative instruments</w:t>
            </w: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discount rate remeasurement gain (loss)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(249.8)</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554.7</w:t>
            </w:r>
          </w:p>
        </w:tc>
      </w:tr>
      <w:tr>
        <w:trPr>
          <w:trHeight w:val="180"/>
        </w:trPr>
        <w:tc>
          <w:tcPr>
            <w:tcW w:w="6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 risk benefit nonperformance risk remeasurement gain (loss)</w:t>
            </w: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73.4</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(121.0)</w:t>
            </w:r>
          </w:p>
        </w:tc>
      </w:tr>
      <w:tr>
        <w:trPr>
          <w:trHeight w:val="180"/>
        </w:trPr>
        <w:tc>
          <w:tcPr>
            <w:tcW w:w="68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unrecognized postretirement benefit obligation</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72"/>
        </w:trPr>
        <w:tc>
          <w:tcPr>
            <w:tcW w:w="68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432.1</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87.4</w:t>
            </w:r>
          </w:p>
        </w:tc>
      </w:tr>
      <w:tr>
        <w:trPr>
          <w:trHeight w:val="172"/>
        </w:trPr>
        <w:tc>
          <w:tcPr>
            <w:tcW w:w="68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495.0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619.4</w:t>
            </w: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72"/>
        </w:trPr>
        <w:tc>
          <w:tcPr>
            <w:tcW w:w="68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Comprehensive income attributable to Principal Financial Group, Inc.</w:t>
            </w:r>
          </w:p>
        </w:tc>
        <w:tc>
          <w:tcPr>
            <w:tcW w:w="240" w:type="dxa"/>
            <w:vAlign w:val="bottom"/>
            <w:tcBorders>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487.0</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621.7</w:t>
            </w: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2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6"/>
        </w:trPr>
        <w:tc>
          <w:tcPr>
            <w:tcW w:w="2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70"/>
        </w:trPr>
        <w:tc>
          <w:tcPr>
            <w:tcW w:w="2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6"/>
        </w:trPr>
        <w:tc>
          <w:tcPr>
            <w:tcW w:w="2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Balances as of January 1, 2024</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10,908.6</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16,683.5</w:t>
            </w:r>
          </w:p>
        </w:tc>
        <w:tc>
          <w:tcPr>
            <w:tcW w:w="32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(5,345.3)</w:t>
            </w: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(11,335.7)</w:t>
            </w:r>
          </w:p>
        </w:tc>
        <w:tc>
          <w:tcPr>
            <w:tcW w:w="240" w:type="dxa"/>
            <w:vAlign w:val="bottom"/>
            <w:gridSpan w:val="2"/>
            <w:shd w:val="clear" w:color="auto" w:fill="CCEEFF"/>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45.7</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10,961.7</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Treasury stock acquired, 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(232.3)</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to common stockholders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Distributions to noncontrolling 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Contributions from noncontrolling interest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67"/>
        </w:trPr>
        <w:tc>
          <w:tcPr>
            <w:tcW w:w="292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Adjustments to redemption amount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3"/>
        </w:trPr>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534.0</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87.6</w:t>
            </w:r>
          </w:p>
        </w:tc>
      </w:tr>
      <w:tr>
        <w:trPr>
          <w:trHeight w:val="172"/>
        </w:trPr>
        <w:tc>
          <w:tcPr>
            <w:tcW w:w="292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March 31, 2024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10,954.</w:t>
            </w:r>
            <w:r>
              <w:rPr>
                <w:rFonts w:ascii="Times New Roman" w:cs="Times New Roman" w:eastAsia="Times New Roman" w:hAnsi="Times New Roman"/>
                <w:sz w:val="16"/>
                <w:szCs w:val="16"/>
                <w:u w:val="single" w:color="auto"/>
                <w:color w:val="auto"/>
              </w:rPr>
              <w:t>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17,050.6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(5,256.1)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(11,568.0)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6"/>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44.9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11,230.4</w:t>
            </w:r>
          </w:p>
        </w:tc>
      </w:tr>
      <w:tr>
        <w:trPr>
          <w:trHeight w:val="20"/>
        </w:trPr>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Balances as of January 1, 2025</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11,100.9</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17,583.5</w:t>
            </w:r>
          </w:p>
        </w:tc>
        <w:tc>
          <w:tcPr>
            <w:tcW w:w="32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(5,224.8)</w:t>
            </w: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(12,378.1)</w:t>
            </w:r>
          </w:p>
        </w:tc>
        <w:tc>
          <w:tcPr>
            <w:tcW w:w="240" w:type="dxa"/>
            <w:vAlign w:val="bottom"/>
            <w:gridSpan w:val="2"/>
            <w:shd w:val="clear" w:color="auto" w:fill="CCEEFF"/>
          </w:tcPr>
          <w:p>
            <w:pPr>
              <w:jc w:val="right"/>
              <w:ind w:right="26"/>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44.9</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11,131.3</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39.8</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Treasury stock acquired, 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(241.3)</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to common stockholders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(169.0)</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Distributions to noncontrolling 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Contributions from noncontrolling interest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w:t>
            </w:r>
          </w:p>
        </w:tc>
      </w:tr>
      <w:tr>
        <w:trPr>
          <w:trHeight w:val="180"/>
        </w:trPr>
        <w:tc>
          <w:tcPr>
            <w:tcW w:w="2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income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51.4</w:t>
            </w:r>
          </w:p>
        </w:tc>
      </w:tr>
      <w:tr>
        <w:trPr>
          <w:trHeight w:val="180"/>
        </w:trPr>
        <w:tc>
          <w:tcPr>
            <w:tcW w:w="2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438.9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439.5</w:t>
            </w:r>
          </w:p>
        </w:tc>
      </w:tr>
      <w:tr>
        <w:trPr>
          <w:trHeight w:val="172"/>
        </w:trPr>
        <w:tc>
          <w:tcPr>
            <w:tcW w:w="292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March 31, 2025</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5.0</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11,157.8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17,459.3</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(4,785.9)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(12,619.4)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6"/>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51.5</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11,268.3</w:t>
            </w:r>
          </w:p>
        </w:tc>
      </w:tr>
      <w:tr>
        <w:trPr>
          <w:trHeight w:val="20"/>
        </w:trPr>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amounts attributable to redeemable noncontrolling interest. See Note 16, Stockholders’ Equity, for further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0"/>
        </w:trPr>
        <w:tc>
          <w:tcPr>
            <w:tcW w:w="5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40" w:type="dxa"/>
            <w:vAlign w:val="bottom"/>
            <w:tcBorders>
              <w:bottom w:val="single" w:sz="8" w:color="auto"/>
            </w:tcBorders>
          </w:tcPr>
          <w:p>
            <w:pPr>
              <w:spacing w:after="0"/>
              <w:rPr>
                <w:sz w:val="14"/>
                <w:szCs w:val="14"/>
                <w:color w:val="auto"/>
              </w:rPr>
            </w:pPr>
          </w:p>
        </w:tc>
      </w:tr>
      <w:tr>
        <w:trPr>
          <w:trHeight w:val="148"/>
        </w:trPr>
        <w:tc>
          <w:tcPr>
            <w:tcW w:w="5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3"/>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5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3"/>
          </w:tcPr>
          <w:p>
            <w:pPr>
              <w:jc w:val="right"/>
              <w:ind w:right="64"/>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840" w:type="dxa"/>
            <w:vAlign w:val="bottom"/>
          </w:tcPr>
          <w:p>
            <w:pPr>
              <w:spacing w:after="0"/>
              <w:rPr>
                <w:sz w:val="11"/>
                <w:szCs w:val="11"/>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20" w:type="dxa"/>
            <w:vAlign w:val="bottom"/>
            <w:gridSpan w:val="2"/>
            <w:shd w:val="clear" w:color="auto" w:fill="CCEEFF"/>
          </w:tcPr>
          <w:p>
            <w:pPr>
              <w:jc w:val="right"/>
              <w:ind w:right="1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977.3</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584.2</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and equity securities with intent to hold:</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5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(4,070.6)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(3,000.8)</w:t>
            </w:r>
          </w:p>
        </w:tc>
      </w:tr>
      <w:tr>
        <w:trPr>
          <w:trHeight w:val="180"/>
        </w:trPr>
        <w:tc>
          <w:tcPr>
            <w:tcW w:w="5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Sales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1,532.2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904.5</w:t>
            </w:r>
          </w:p>
        </w:tc>
      </w:tr>
      <w:tr>
        <w:trPr>
          <w:trHeight w:val="180"/>
        </w:trPr>
        <w:tc>
          <w:tcPr>
            <w:tcW w:w="5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Maturities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1,271.0</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 acquired or originated</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(603.6)</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 sold or repaid</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344.9</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 acquired</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(32.8)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 sold</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purchases of property and equipment</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(16.4)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r>
      <w:tr>
        <w:trPr>
          <w:trHeight w:val="180"/>
        </w:trPr>
        <w:tc>
          <w:tcPr>
            <w:tcW w:w="5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Net change in other investments</w:t>
            </w:r>
          </w:p>
        </w:tc>
        <w:tc>
          <w:tcPr>
            <w:tcW w:w="10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(197.9)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(248.0)</w:t>
            </w:r>
          </w:p>
        </w:tc>
      </w:tr>
      <w:tr>
        <w:trPr>
          <w:trHeight w:val="172"/>
        </w:trPr>
        <w:tc>
          <w:tcPr>
            <w:tcW w:w="5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(952.7)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(1,343.2)</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Issuance of common stock</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Acquisition of treasury stock</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(234.2)</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Payments for financing element derivatives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(10.7)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 of subsidiary shares from noncontrolling interest</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to common stockholders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repayments of short-term borrowings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 deposits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3,213.0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3,198.6</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 withdrawals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(2,711.3)</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increase (decrease) in banking operation deposits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130.7</w:t>
            </w:r>
          </w:p>
        </w:tc>
      </w:tr>
      <w:tr>
        <w:trPr>
          <w:trHeight w:val="180"/>
        </w:trPr>
        <w:tc>
          <w:tcPr>
            <w:tcW w:w="5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72"/>
        </w:trPr>
        <w:tc>
          <w:tcPr>
            <w:tcW w:w="5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219.7</w:t>
            </w:r>
          </w:p>
        </w:tc>
      </w:tr>
      <w:tr>
        <w:trPr>
          <w:trHeight w:val="172"/>
        </w:trPr>
        <w:tc>
          <w:tcPr>
            <w:tcW w:w="5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(539.3)</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4,707.7</w:t>
            </w:r>
          </w:p>
        </w:tc>
      </w:tr>
      <w:tr>
        <w:trPr>
          <w:trHeight w:val="212"/>
        </w:trPr>
        <w:tc>
          <w:tcPr>
            <w:tcW w:w="57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3,875.7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4,168.4</w:t>
            </w:r>
          </w:p>
        </w:tc>
      </w:tr>
      <w:tr>
        <w:trPr>
          <w:trHeight w:val="156"/>
        </w:trPr>
        <w:tc>
          <w:tcPr>
            <w:tcW w:w="5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Pre-capitalized contingent funding agreement exercise:</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5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Increase in fixed maturities, trading</w:t>
            </w:r>
          </w:p>
        </w:tc>
        <w:tc>
          <w:tcPr>
            <w:tcW w:w="1320" w:type="dxa"/>
            <w:vAlign w:val="bottom"/>
            <w:gridSpan w:val="2"/>
          </w:tcPr>
          <w:p>
            <w:pPr>
              <w:jc w:val="right"/>
              <w:ind w:right="1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388.3</w:t>
            </w:r>
          </w:p>
        </w:tc>
        <w:tc>
          <w:tcPr>
            <w:tcW w:w="100" w:type="dxa"/>
            <w:vAlign w:val="bottom"/>
          </w:tcPr>
          <w:p>
            <w:pPr>
              <w:spacing w:after="0"/>
              <w:rPr>
                <w:sz w:val="15"/>
                <w:szCs w:val="15"/>
                <w:color w:val="auto"/>
              </w:rPr>
            </w:pPr>
          </w:p>
        </w:tc>
        <w:tc>
          <w:tcPr>
            <w:tcW w:w="440" w:type="dxa"/>
            <w:vAlign w:val="bottom"/>
            <w:gridSpan w:val="2"/>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Increase in long-term debt, net of discount</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resulting from deconsolidation of an investment:</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Decrease in mortgage loans</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Decrease in short-term debt</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Decrease in long-term debt</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7" w:name="page8"/>
    <w:bookmarkEnd w:id="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right="5400" w:hanging="2"/>
        <w:spacing w:after="0" w:line="486" w:lineRule="auto"/>
        <w:tabs>
          <w:tab w:leader="none" w:pos="158"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Nature of Operations and Significant Accounting Policies Basis of Presentation</w:t>
      </w:r>
    </w:p>
    <w:p>
      <w:pPr>
        <w:spacing w:after="0" w:line="1" w:lineRule="exact"/>
        <w:rPr>
          <w:sz w:val="20"/>
          <w:szCs w:val="20"/>
          <w:color w:val="auto"/>
        </w:rPr>
      </w:pPr>
    </w:p>
    <w:p>
      <w:pPr>
        <w:ind w:left="2" w:right="160" w:firstLine="576"/>
        <w:spacing w:after="0" w:line="24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Principal Financial Group, Inc. (“PFG”) have been prepared in conformity with accounting principles generally accepted in the U.S. (“U.S. GAAP”) for interim financial statements and with the instructions to Form 10-Q and Article 10 of Regulation S-X. In the opinion of management, all adjustments (consisting of normal recurring accruals) considered necessary for a fair presentation have been included.</w:t>
      </w:r>
    </w:p>
    <w:p>
      <w:pPr>
        <w:spacing w:after="0" w:line="167" w:lineRule="exact"/>
        <w:rPr>
          <w:sz w:val="20"/>
          <w:szCs w:val="20"/>
          <w:color w:val="auto"/>
        </w:rPr>
      </w:pPr>
    </w:p>
    <w:p>
      <w:pPr>
        <w:ind w:left="2" w:right="80" w:firstLine="576"/>
        <w:spacing w:after="0" w:line="238" w:lineRule="auto"/>
        <w:rPr>
          <w:sz w:val="20"/>
          <w:szCs w:val="20"/>
          <w:color w:val="auto"/>
        </w:rPr>
      </w:pPr>
      <w:r>
        <w:rPr>
          <w:rFonts w:ascii="Times New Roman" w:cs="Times New Roman" w:eastAsia="Times New Roman" w:hAnsi="Times New Roman"/>
          <w:sz w:val="16"/>
          <w:szCs w:val="16"/>
          <w:color w:val="auto"/>
        </w:rPr>
        <w:t>Operating results for the three months ended March 31, 2025, are not necessarily indicative of the results that may be expected for the year ended December 31, 2025, especially when considering risks and uncertainties that may impact our business, results of operations, financial condition and liquidity. Our use of estimates and assumptions affect amounts reported and disclosed and includes, but is not limited to, the fair value of investments in the absence of quoted market values, investment impairments and valuation allowances, the fair value of derivatives, the fair value of market risk benefits (“MRBs”), measurement of goodwill and intangible assets, the liability for future policy benefits and claims, the value of pension and other postretirement benefit obligations and accounting for income taxes and the valuation of deferred tax assets. Our estimates and assumptions could change in the future. Our results of operations and financial condition may also be impacted by other uncertainties including evolving regulatory, legislative and standard-setter accounting interpretations and guidance.</w:t>
      </w:r>
    </w:p>
    <w:p>
      <w:pPr>
        <w:spacing w:after="0" w:line="173" w:lineRule="exact"/>
        <w:rPr>
          <w:sz w:val="20"/>
          <w:szCs w:val="20"/>
          <w:color w:val="auto"/>
        </w:rPr>
      </w:pPr>
    </w:p>
    <w:p>
      <w:pPr>
        <w:ind w:left="2" w:right="200" w:firstLine="576"/>
        <w:spacing w:after="0" w:line="241" w:lineRule="auto"/>
        <w:rPr>
          <w:sz w:val="20"/>
          <w:szCs w:val="20"/>
          <w:color w:val="auto"/>
        </w:rPr>
      </w:pPr>
      <w:r>
        <w:rPr>
          <w:rFonts w:ascii="Times New Roman" w:cs="Times New Roman" w:eastAsia="Times New Roman" w:hAnsi="Times New Roman"/>
          <w:sz w:val="16"/>
          <w:szCs w:val="16"/>
          <w:color w:val="auto"/>
        </w:rPr>
        <w:t>These interim unaudited condensed consolidated financial statements should be read in conjunction with our annual audited financial statements as of December 31, 2024, included in our Form 10-K for the year ended December 31, 2024, filed with the United States Securities and Exchange Commission (“SEC”). The accompanying condensed consolidated statement of financial position as of December 31, 2024, has been derived from the audited consolidated statement of financial position but does not include all of the information and footnotes required by U.S. GAAP for complete financial statements.</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Consolidation</w:t>
      </w:r>
    </w:p>
    <w:p>
      <w:pPr>
        <w:spacing w:after="0" w:line="190" w:lineRule="exact"/>
        <w:rPr>
          <w:sz w:val="20"/>
          <w:szCs w:val="20"/>
          <w:color w:val="auto"/>
        </w:rPr>
      </w:pPr>
    </w:p>
    <w:p>
      <w:pPr>
        <w:ind w:left="2" w:firstLine="576"/>
        <w:spacing w:after="0" w:line="237" w:lineRule="auto"/>
        <w:rPr>
          <w:sz w:val="20"/>
          <w:szCs w:val="20"/>
          <w:color w:val="auto"/>
        </w:rPr>
      </w:pPr>
      <w:r>
        <w:rPr>
          <w:rFonts w:ascii="Times New Roman" w:cs="Times New Roman" w:eastAsia="Times New Roman" w:hAnsi="Times New Roman"/>
          <w:sz w:val="16"/>
          <w:szCs w:val="16"/>
          <w:color w:val="auto"/>
        </w:rPr>
        <w:t>We have relationships with various special purpose entities and other legal entities that must be evaluated to determine if the entities meet the criteria of a variable interest entity (“VIE”) or a voting interest entity (“VOE”). This assessment is performed by reviewing contractual, ownership and other rights, including involvement of related parties, and requires use of judgment. First, we determine if we hold a variable interest in an entity by assessing if we have the right to receive expected losses and expected residual returns of the entity. If we hold a variable interest, then the entity is assessed to determine if it is a VIE. An entity is a VIE if the equity at risk is not sufficient to support its activities, if the equity holders lack a controlling financial interest or if the entity is structured with non-substantive voting rights. In addition to the previous criteria, if the entity is a limited partnership or similar entity, it is a VIE if the limited partners do not have the power to direct the entity’s most significant activities through substantive kick-out rights or participating rights. A VIE is evaluated to determine the primary beneficiary. The primary beneficiary of a VIE is the enterprise with (1) the power to direct the activities of a VIE that most significantly impact the entity’s economic performance and (2) the obligation to absorb losses of the entity or the right to receive benefits from the entity that could potentially be significant to the VIE. When we are the primary beneficiary, we are required to consolidate the entity in our financial statements. We reassess our involvement with VIEs on a quarterly basis. For further information about VIEs, refer to Note 3, Variable Interest Entities.</w:t>
      </w:r>
    </w:p>
    <w:p>
      <w:pPr>
        <w:spacing w:after="0" w:line="172" w:lineRule="exact"/>
        <w:rPr>
          <w:sz w:val="20"/>
          <w:szCs w:val="20"/>
          <w:color w:val="auto"/>
        </w:rPr>
      </w:pPr>
    </w:p>
    <w:p>
      <w:pPr>
        <w:ind w:left="2" w:right="20" w:firstLine="576"/>
        <w:spacing w:after="0" w:line="243" w:lineRule="auto"/>
        <w:rPr>
          <w:sz w:val="20"/>
          <w:szCs w:val="20"/>
          <w:color w:val="auto"/>
        </w:rPr>
      </w:pPr>
      <w:r>
        <w:rPr>
          <w:rFonts w:ascii="Times New Roman" w:cs="Times New Roman" w:eastAsia="Times New Roman" w:hAnsi="Times New Roman"/>
          <w:sz w:val="16"/>
          <w:szCs w:val="16"/>
          <w:color w:val="auto"/>
        </w:rPr>
        <w:t>If an entity is not a VIE, it is considered a VOE. VOEs are generally consolidated if we own a greater than 50% voting interest. If we determine our involvement in an entity no longer meets the requirements for consolidation under either the VIE or VOE models, the entity is deconsolidated. Entities in which we have management influence over the operating and financing decisions but are not required to consolidate, other than investments accounted for at fair value under the fair value option, are reported using the equity method.</w:t>
      </w:r>
    </w:p>
    <w:p>
      <w:pPr>
        <w:spacing w:after="0" w:line="200" w:lineRule="exact"/>
        <w:rPr>
          <w:sz w:val="20"/>
          <w:szCs w:val="20"/>
          <w:color w:val="auto"/>
        </w:rPr>
      </w:pPr>
    </w:p>
    <w:p>
      <w:pPr>
        <w:spacing w:after="0" w:line="33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4780" w:type="dxa"/>
            <w:vAlign w:val="bottom"/>
            <w:tcBorders>
              <w:top w:val="single" w:sz="8" w:color="auto"/>
              <w:left w:val="single" w:sz="8" w:color="auto"/>
              <w:right w:val="single" w:sz="8" w:color="auto"/>
            </w:tcBorders>
          </w:tcPr>
          <w:p>
            <w:pPr>
              <w:spacing w:after="0"/>
              <w:rPr>
                <w:sz w:val="15"/>
                <w:szCs w:val="15"/>
                <w:color w:val="auto"/>
              </w:rPr>
            </w:pPr>
          </w:p>
        </w:tc>
        <w:tc>
          <w:tcPr>
            <w:tcW w:w="1700" w:type="dxa"/>
            <w:vAlign w:val="bottom"/>
            <w:tcBorders>
              <w:top w:val="single" w:sz="8" w:color="auto"/>
              <w:right w:val="single" w:sz="8" w:color="auto"/>
            </w:tcBorders>
          </w:tcPr>
          <w:p>
            <w:pPr>
              <w:spacing w:after="0"/>
              <w:rPr>
                <w:sz w:val="15"/>
                <w:szCs w:val="15"/>
                <w:color w:val="auto"/>
              </w:rPr>
            </w:pPr>
          </w:p>
        </w:tc>
        <w:tc>
          <w:tcPr>
            <w:tcW w:w="2860" w:type="dxa"/>
            <w:vAlign w:val="bottom"/>
            <w:tcBorders>
              <w:top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b w:val="1"/>
                <w:bCs w:val="1"/>
                <w:color w:val="auto"/>
              </w:rPr>
              <w:t>Effect on our consolidated</w:t>
            </w:r>
          </w:p>
        </w:tc>
      </w:tr>
      <w:tr>
        <w:trPr>
          <w:trHeight w:val="180"/>
        </w:trPr>
        <w:tc>
          <w:tcPr>
            <w:tcW w:w="4780" w:type="dxa"/>
            <w:vAlign w:val="bottom"/>
            <w:tcBorders>
              <w:left w:val="single" w:sz="8" w:color="auto"/>
              <w:right w:val="single" w:sz="8" w:color="auto"/>
            </w:tcBorders>
          </w:tcPr>
          <w:p>
            <w:pPr>
              <w:spacing w:after="0"/>
              <w:rPr>
                <w:sz w:val="15"/>
                <w:szCs w:val="15"/>
                <w:color w:val="auto"/>
              </w:rPr>
            </w:pPr>
          </w:p>
        </w:tc>
        <w:tc>
          <w:tcPr>
            <w:tcW w:w="17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Date of</w:t>
            </w: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financial statements or other</w:t>
            </w:r>
          </w:p>
        </w:tc>
      </w:tr>
      <w:tr>
        <w:trPr>
          <w:trHeight w:val="195"/>
        </w:trPr>
        <w:tc>
          <w:tcPr>
            <w:tcW w:w="47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adoption</w:t>
            </w:r>
          </w:p>
        </w:tc>
        <w:tc>
          <w:tcPr>
            <w:tcW w:w="2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significant matters</w:t>
            </w:r>
          </w:p>
        </w:tc>
      </w:tr>
      <w:tr>
        <w:trPr>
          <w:trHeight w:val="172"/>
        </w:trPr>
        <w:tc>
          <w:tcPr>
            <w:tcW w:w="4780" w:type="dxa"/>
            <w:vAlign w:val="bottom"/>
            <w:tcBorders>
              <w:left w:val="single" w:sz="8" w:color="auto"/>
              <w:bottom w:val="single" w:sz="8" w:color="auto"/>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Standards not yet adopted:</w:t>
            </w:r>
          </w:p>
        </w:tc>
        <w:tc>
          <w:tcPr>
            <w:tcW w:w="1700" w:type="dxa"/>
            <w:vAlign w:val="bottom"/>
            <w:tcBorders>
              <w:bottom w:val="single" w:sz="8" w:color="auto"/>
              <w:right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r>
      <w:tr>
        <w:trPr>
          <w:trHeight w:val="159"/>
        </w:trPr>
        <w:tc>
          <w:tcPr>
            <w:tcW w:w="4780" w:type="dxa"/>
            <w:vAlign w:val="bottom"/>
            <w:tcBorders>
              <w:left w:val="single" w:sz="8" w:color="auto"/>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b w:val="1"/>
                <w:bCs w:val="1"/>
                <w:color w:val="auto"/>
              </w:rPr>
              <w:t>Disaggregation of income statement expenses</w:t>
            </w:r>
          </w:p>
        </w:tc>
        <w:tc>
          <w:tcPr>
            <w:tcW w:w="170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6"/>
                <w:szCs w:val="16"/>
                <w:color w:val="auto"/>
              </w:rPr>
              <w:t>December 31, 2027</w:t>
            </w:r>
          </w:p>
        </w:tc>
        <w:tc>
          <w:tcPr>
            <w:tcW w:w="286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color w:val="auto"/>
                <w:w w:val="98"/>
              </w:rPr>
              <w:t>We are currently evaluating the impact this</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This authoritative guidance expands the disclosures about a public</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guidance will have on our notes to the</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entity’s expenses and addresses requests for more granular information</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203"/>
        </w:trPr>
        <w:tc>
          <w:tcPr>
            <w:tcW w:w="4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about the types of expenses in commonly presented expense categories.</w:t>
            </w:r>
          </w:p>
        </w:tc>
        <w:tc>
          <w:tcPr>
            <w:tcW w:w="170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r>
      <w:tr>
        <w:trPr>
          <w:trHeight w:val="182"/>
        </w:trPr>
        <w:tc>
          <w:tcPr>
            <w:tcW w:w="478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184"/>
        </w:trPr>
        <w:tc>
          <w:tcPr>
            <w:tcW w:w="47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Standards adopted:</w:t>
            </w:r>
          </w:p>
        </w:tc>
        <w:tc>
          <w:tcPr>
            <w:tcW w:w="170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r>
      <w:tr>
        <w:trPr>
          <w:trHeight w:val="159"/>
        </w:trPr>
        <w:tc>
          <w:tcPr>
            <w:tcW w:w="4780" w:type="dxa"/>
            <w:vAlign w:val="bottom"/>
            <w:tcBorders>
              <w:left w:val="single" w:sz="8" w:color="auto"/>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b w:val="1"/>
                <w:bCs w:val="1"/>
                <w:color w:val="auto"/>
              </w:rPr>
              <w:t>Improvements to income tax disclosures</w:t>
            </w:r>
          </w:p>
        </w:tc>
        <w:tc>
          <w:tcPr>
            <w:tcW w:w="170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6"/>
                <w:szCs w:val="16"/>
                <w:color w:val="auto"/>
              </w:rPr>
              <w:t>January 1, 2025</w:t>
            </w:r>
          </w:p>
        </w:tc>
        <w:tc>
          <w:tcPr>
            <w:tcW w:w="286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color w:val="auto"/>
              </w:rPr>
              <w:t>This guidance will not have a material</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This authoritative guidance provides improvements to income tax</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impact on our notes to the consolidated</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disclosures for annual periods primarily related to the rate reconciliation</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financial statements when the new annual</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and income taxes paid information.</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w w:val="99"/>
              </w:rPr>
              <w:t>disclosures are included in our notes to the</w:t>
            </w:r>
          </w:p>
        </w:tc>
      </w:tr>
      <w:tr>
        <w:trPr>
          <w:trHeight w:val="203"/>
        </w:trPr>
        <w:tc>
          <w:tcPr>
            <w:tcW w:w="478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consolidated financial statements.</w:t>
            </w:r>
          </w:p>
        </w:tc>
      </w:tr>
      <w:tr>
        <w:trPr>
          <w:trHeight w:val="182"/>
        </w:trPr>
        <w:tc>
          <w:tcPr>
            <w:tcW w:w="478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159"/>
        </w:trPr>
        <w:tc>
          <w:tcPr>
            <w:tcW w:w="4780" w:type="dxa"/>
            <w:vAlign w:val="bottom"/>
            <w:tcBorders>
              <w:left w:val="single" w:sz="8" w:color="auto"/>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b w:val="1"/>
                <w:bCs w:val="1"/>
                <w:color w:val="auto"/>
              </w:rPr>
              <w:t>Improvements to reportable segments disclosures</w:t>
            </w:r>
          </w:p>
        </w:tc>
        <w:tc>
          <w:tcPr>
            <w:tcW w:w="170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6"/>
                <w:szCs w:val="16"/>
                <w:color w:val="auto"/>
              </w:rPr>
              <w:t>December 31, 2024</w:t>
            </w:r>
          </w:p>
        </w:tc>
        <w:tc>
          <w:tcPr>
            <w:tcW w:w="286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6"/>
                <w:szCs w:val="16"/>
                <w:color w:val="auto"/>
              </w:rPr>
              <w:t>The enhanced disclosures can be found in</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This authoritative guidance enhances the disclosures about a public</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Note 18, Segment Information.</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entity’s reportable segments and addresses requests from investors for</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additional, more detailed information about a reportable segment’s</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203"/>
        </w:trPr>
        <w:tc>
          <w:tcPr>
            <w:tcW w:w="4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expenses.</w:t>
            </w:r>
          </w:p>
        </w:tc>
        <w:tc>
          <w:tcPr>
            <w:tcW w:w="170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r>
      <w:tr>
        <w:trPr>
          <w:trHeight w:val="182"/>
        </w:trPr>
        <w:tc>
          <w:tcPr>
            <w:tcW w:w="478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r>
      <w:tr>
        <w:trPr>
          <w:trHeight w:val="157"/>
        </w:trPr>
        <w:tc>
          <w:tcPr>
            <w:tcW w:w="4780" w:type="dxa"/>
            <w:vAlign w:val="bottom"/>
            <w:tcBorders>
              <w:left w:val="single" w:sz="8" w:color="auto"/>
              <w:right w:val="single" w:sz="8" w:color="auto"/>
            </w:tcBorders>
          </w:tcPr>
          <w:p>
            <w:pPr>
              <w:ind w:left="100"/>
              <w:spacing w:after="0" w:line="157" w:lineRule="exact"/>
              <w:rPr>
                <w:sz w:val="20"/>
                <w:szCs w:val="20"/>
                <w:color w:val="auto"/>
              </w:rPr>
            </w:pPr>
            <w:r>
              <w:rPr>
                <w:rFonts w:ascii="Times New Roman" w:cs="Times New Roman" w:eastAsia="Times New Roman" w:hAnsi="Times New Roman"/>
                <w:sz w:val="16"/>
                <w:szCs w:val="16"/>
                <w:b w:val="1"/>
                <w:bCs w:val="1"/>
                <w:color w:val="auto"/>
              </w:rPr>
              <w:t>Facilitation of the effects of reference rate reform on financial</w:t>
            </w:r>
          </w:p>
        </w:tc>
        <w:tc>
          <w:tcPr>
            <w:tcW w:w="170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6"/>
                <w:szCs w:val="16"/>
                <w:color w:val="auto"/>
              </w:rPr>
              <w:t>March 12, 2020</w:t>
            </w:r>
          </w:p>
        </w:tc>
        <w:tc>
          <w:tcPr>
            <w:tcW w:w="2860" w:type="dxa"/>
            <w:vAlign w:val="bottom"/>
            <w:tcBorders>
              <w:right w:val="single" w:sz="8" w:color="auto"/>
            </w:tcBorders>
          </w:tcPr>
          <w:p>
            <w:pPr>
              <w:ind w:left="100"/>
              <w:spacing w:after="0" w:line="157" w:lineRule="exact"/>
              <w:rPr>
                <w:sz w:val="20"/>
                <w:szCs w:val="20"/>
                <w:color w:val="auto"/>
              </w:rPr>
            </w:pPr>
            <w:r>
              <w:rPr>
                <w:rFonts w:ascii="Times New Roman" w:cs="Times New Roman" w:eastAsia="Times New Roman" w:hAnsi="Times New Roman"/>
                <w:sz w:val="16"/>
                <w:szCs w:val="16"/>
                <w:color w:val="auto"/>
              </w:rPr>
              <w:t>We adopted the guidance upon issuance</w:t>
            </w:r>
          </w:p>
        </w:tc>
      </w:tr>
      <w:tr>
        <w:trPr>
          <w:trHeight w:val="182"/>
        </w:trPr>
        <w:tc>
          <w:tcPr>
            <w:tcW w:w="4780" w:type="dxa"/>
            <w:vAlign w:val="bottom"/>
            <w:tcBorders>
              <w:left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auto"/>
              </w:rPr>
              <w:t>reporting</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prospectively and elected the applicable</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w w:val="99"/>
              </w:rPr>
              <w:t>This authoritative guidance provided optional expedients and exceptions</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optional expedients and exceptions for</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w w:val="99"/>
              </w:rPr>
              <w:t>for contracts and hedging relationships affected by reference rate reform.</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contracts and hedging relationships</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An entity could elect not to apply certain modification accounting</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impacted by reference rate reform through</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requirements to contracts affected by reference rate reform and instead</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December 31, 2024. The guidance did not</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account for the modified contract as a continuation of the existing</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have an impact on our consolidated</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contract. Also, an entity could apply optional expedients to continue</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financial statements upon adoption.</w:t>
            </w: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hedge accounting for hedging relationships in which the critical terms</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changed due to reference rate reform. This guidance eased the financial</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reporting impacts of reference rate reform on contracts and hedging</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relationships and was effective until December 31, 2022. A subsequent</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amendment issued in December 2022 extended the relief date from</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180"/>
        </w:trPr>
        <w:tc>
          <w:tcPr>
            <w:tcW w:w="478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December 31, 2022, to December 31, 2024, and was effective upon</w:t>
            </w:r>
          </w:p>
        </w:tc>
        <w:tc>
          <w:tcPr>
            <w:tcW w:w="170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r>
      <w:tr>
        <w:trPr>
          <w:trHeight w:val="203"/>
        </w:trPr>
        <w:tc>
          <w:tcPr>
            <w:tcW w:w="4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issuance.</w:t>
            </w:r>
          </w:p>
        </w:tc>
        <w:tc>
          <w:tcPr>
            <w:tcW w:w="170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r>
      <w:tr>
        <w:trPr>
          <w:trHeight w:val="230"/>
        </w:trPr>
        <w:tc>
          <w:tcPr>
            <w:tcW w:w="478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r>
    </w:tbl>
    <w:p>
      <w:pPr>
        <w:spacing w:after="0" w:line="167" w:lineRule="exact"/>
        <w:rPr>
          <w:sz w:val="20"/>
          <w:szCs w:val="20"/>
          <w:color w:val="auto"/>
        </w:rPr>
      </w:pPr>
    </w:p>
    <w:p>
      <w:pPr>
        <w:ind w:right="160" w:firstLine="576"/>
        <w:spacing w:after="0" w:line="241" w:lineRule="auto"/>
        <w:rPr>
          <w:sz w:val="20"/>
          <w:szCs w:val="20"/>
          <w:color w:val="auto"/>
        </w:rPr>
      </w:pPr>
      <w:r>
        <w:rPr>
          <w:rFonts w:ascii="Times New Roman" w:cs="Times New Roman" w:eastAsia="Times New Roman" w:hAnsi="Times New Roman"/>
          <w:sz w:val="16"/>
          <w:szCs w:val="16"/>
          <w:color w:val="auto"/>
        </w:rPr>
        <w:t>When we adopt new accounting standards, we have a process in place to perform a thorough review of the pronouncement, identify the financial statement and system impacts and create an implementation plan among our impacted business units to ensure we are compliant with the pronouncement on the date of adoption. This includes having effective processes and controls in place to support the reported amounts. Each of the standards listed above is in varying stages in our implementation process based on its issuance and adoption dates. We are on track to implement guidance by the respective effective dates.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3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Long-Duration Insurance Contracts Disclosures</w:t>
      </w:r>
    </w:p>
    <w:p>
      <w:pPr>
        <w:spacing w:after="0" w:line="178"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We include disaggregated rollforwards for deferred acquisition costs (“DAC”), the unearned revenue liability, separate account liabilities, policyholder account balances, the liability for future policy benefits, the additional liability for certain benefit features and MRBs. Further, for certain actuarial balances, disclosures are required for the significant inputs, judgments, assumptions and methods used in measurement, including changes in those inputs, judgments and assumptions, and the effect of those changes on measurement.</w:t>
      </w:r>
    </w:p>
    <w:p>
      <w:pPr>
        <w:spacing w:after="0" w:line="155" w:lineRule="exact"/>
        <w:rPr>
          <w:sz w:val="20"/>
          <w:szCs w:val="20"/>
          <w:color w:val="auto"/>
        </w:rPr>
      </w:pPr>
    </w:p>
    <w:p>
      <w:pPr>
        <w:ind w:right="360" w:firstLine="576"/>
        <w:spacing w:after="0" w:line="247" w:lineRule="auto"/>
        <w:rPr>
          <w:sz w:val="20"/>
          <w:szCs w:val="20"/>
          <w:color w:val="auto"/>
        </w:rPr>
      </w:pPr>
      <w:r>
        <w:rPr>
          <w:rFonts w:ascii="Times New Roman" w:cs="Times New Roman" w:eastAsia="Times New Roman" w:hAnsi="Times New Roman"/>
          <w:sz w:val="16"/>
          <w:szCs w:val="16"/>
          <w:color w:val="auto"/>
        </w:rPr>
        <w:t>Amounts from different reportable segments cannot be aggregated for disclosures. Factors to consider in determining the level of aggregation for disclosures include the type of coverage, geography and market or type of customer. We have identified the following levels of aggregation for long-duration insurance contract disclosures.</w:t>
      </w:r>
    </w:p>
    <w:p>
      <w:pPr>
        <w:spacing w:after="0" w:line="152" w:lineRule="exact"/>
        <w:rPr>
          <w:sz w:val="20"/>
          <w:szCs w:val="20"/>
          <w:color w:val="auto"/>
        </w:rPr>
      </w:pPr>
    </w:p>
    <w:p>
      <w:pPr>
        <w:ind w:left="860" w:hanging="286"/>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Retirement and Income Solutions:</w:t>
      </w:r>
    </w:p>
    <w:p>
      <w:pPr>
        <w:spacing w:after="0" w:line="11" w:lineRule="exact"/>
        <w:rPr>
          <w:sz w:val="20"/>
          <w:szCs w:val="20"/>
          <w:color w:val="auto"/>
        </w:rPr>
      </w:pPr>
    </w:p>
    <w:p>
      <w:pPr>
        <w:ind w:left="1440" w:right="220" w:hanging="289"/>
        <w:spacing w:after="0" w:line="228"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Workplace savings and retirement solutions – Group annuity contracts offered to the plan sponsors of defined contribution plans or defined benefit plans</w:t>
      </w:r>
    </w:p>
    <w:p>
      <w:pPr>
        <w:ind w:left="1440" w:right="520" w:hanging="289"/>
        <w:spacing w:after="0" w:line="226"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Individual variable annuities – Variable deferred annuities and registered index-linked annuities (“RILAs”) offered to individuals for both qualified and nonqualified retirement savings</w:t>
      </w:r>
    </w:p>
    <w:p>
      <w:pPr>
        <w:ind w:left="1440" w:hanging="289"/>
        <w:spacing w:after="0" w:line="218"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Pension risk transfer – Single premium group annuities offered to pension plan sponsors and other institutions</w:t>
      </w:r>
    </w:p>
    <w:p>
      <w:pPr>
        <w:ind w:left="1440" w:right="140" w:hanging="289"/>
        <w:spacing w:after="0" w:line="226"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Individual fixed deferred annuities – An exited business that offered single premium deferred annuity contracts and flexible premium deferred annuities (“FPDAs”) to individuals for both qualified and nonqualified retirement savings</w:t>
      </w:r>
    </w:p>
    <w:p>
      <w:pPr>
        <w:jc w:val="both"/>
        <w:ind w:left="1440" w:right="400" w:hanging="289"/>
        <w:spacing w:after="0" w:line="229"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Individual fixed income annuities – An exited business that offered single premium immediate annuities (“SPIAs”) and deferred income annuities (“DIAs”) to individuals for both qualified and nonqualified retirement savings; also includes supplementary contracts generated by annuitizations from other individual product lines</w:t>
      </w:r>
    </w:p>
    <w:p>
      <w:pPr>
        <w:ind w:left="1440" w:right="280" w:hanging="289"/>
        <w:spacing w:after="0" w:line="226"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Investment only – Primarily guaranteed investment contracts (“GICs”) and funding agreements offered to retirement plan sponsors and other institutions</w:t>
      </w:r>
    </w:p>
    <w:p>
      <w:pPr>
        <w:ind w:left="860" w:hanging="286"/>
        <w:spacing w:after="0" w:line="234"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Asset Management – International Pension</w:t>
      </w:r>
    </w:p>
    <w:p>
      <w:pPr>
        <w:ind w:left="1440" w:hanging="289"/>
        <w:spacing w:after="0" w:line="218"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Latin America:</w:t>
      </w:r>
    </w:p>
    <w:p>
      <w:pPr>
        <w:ind w:left="1720"/>
        <w:spacing w:after="0" w:line="234" w:lineRule="auto"/>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Individual fixed income annuities – SPIAs offered to individuals</w:t>
      </w:r>
    </w:p>
    <w:p>
      <w:pPr>
        <w:ind w:left="2020" w:right="180"/>
        <w:spacing w:after="0" w:line="234" w:lineRule="auto"/>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Pension – Certain retirement accumulation products where the segregated funds and associated obligation to the client are consolidated within our financial statements as separate account assets and liabilities and are only in the scope of long-duration insurance contracts disclosures for separate accounts</w:t>
      </w:r>
    </w:p>
    <w:p>
      <w:pPr>
        <w:spacing w:after="0" w:line="1" w:lineRule="exact"/>
        <w:rPr>
          <w:rFonts w:ascii="Courier New" w:cs="Courier New" w:eastAsia="Courier New" w:hAnsi="Courier New"/>
          <w:sz w:val="16"/>
          <w:szCs w:val="16"/>
          <w:color w:val="auto"/>
        </w:rPr>
      </w:pPr>
    </w:p>
    <w:p>
      <w:pPr>
        <w:ind w:left="860" w:hanging="286"/>
        <w:spacing w:after="0" w:line="234"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and Protection – Specialty Benefits:</w:t>
      </w:r>
    </w:p>
    <w:p>
      <w:pPr>
        <w:ind w:left="1440" w:hanging="289"/>
        <w:spacing w:after="0" w:line="218"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Individual disability – Disability insurance providing protection to individuals and/or business owners</w:t>
      </w:r>
    </w:p>
    <w:p>
      <w:pPr>
        <w:ind w:left="860" w:hanging="286"/>
        <w:spacing w:after="0" w:line="234"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and Protection – Life Insurance:</w:t>
      </w:r>
    </w:p>
    <w:p>
      <w:pPr>
        <w:ind w:left="1440" w:right="320" w:hanging="289"/>
        <w:spacing w:after="0" w:line="229"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Universal life – Universal life, variable universal life and indexed universal life insurance products offered to individuals and/or business owners, which will be collectively referred to hereafter as “universal life” contracts; includes our exited universal life insurance with secondary guarantee (“ULSG”) business</w:t>
      </w:r>
    </w:p>
    <w:p>
      <w:pPr>
        <w:ind w:left="1440" w:hanging="289"/>
        <w:spacing w:after="0" w:line="218"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Term life – Term life insurance products offered to individuals and/or business owners</w:t>
      </w:r>
    </w:p>
    <w:p>
      <w:pPr>
        <w:ind w:left="1440" w:right="220" w:hanging="289"/>
        <w:spacing w:after="0" w:line="226"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Participating life – Participating life insurance contracts offered to individuals, some of which are part of a closed block of business and are only in the scope of long-duration insurance contracts disclosures for DAC</w:t>
      </w:r>
    </w:p>
    <w:p>
      <w:pPr>
        <w:ind w:left="860" w:hanging="286"/>
        <w:spacing w:after="0" w:line="234"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w:t>
      </w:r>
    </w:p>
    <w:p>
      <w:pPr>
        <w:ind w:left="1440" w:right="200" w:hanging="289"/>
        <w:spacing w:after="0" w:line="229" w:lineRule="auto"/>
        <w:tabs>
          <w:tab w:leader="none" w:pos="1440" w:val="left"/>
        </w:tabs>
        <w:numPr>
          <w:ilvl w:val="1"/>
          <w:numId w:val="5"/>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Long-term care insurance – A closed block of long-term care insurance that is fully reinsured, which was offered on both a group and individual basis.</w:t>
      </w:r>
    </w:p>
    <w:p>
      <w:pPr>
        <w:spacing w:after="0" w:line="158"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For the separate account liability disclosures, our Retirement and Income Solutions segment uses a Group retirement contracts level of aggregation. This consists primarily of separate account liabilities for the workplace savings and retirement solutions business as well as amounts for the investment only and pension risk transfer businesses.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7" w:right="1320" w:bottom="1440" w:gutter="0" w:footer="0" w:header="0"/>
        </w:sectPr>
      </w:pPr>
    </w:p>
    <w:bookmarkStart w:id="10" w:name="page11"/>
    <w:bookmarkEnd w:id="1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2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right="7340" w:hanging="2"/>
        <w:spacing w:after="0" w:line="502" w:lineRule="auto"/>
        <w:tabs>
          <w:tab w:leader="none" w:pos="158"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Intangible Assets Finite Lived Intangible Assets</w:t>
      </w:r>
    </w:p>
    <w:p>
      <w:pPr>
        <w:spacing w:after="0" w:line="1" w:lineRule="exact"/>
        <w:rPr>
          <w:sz w:val="20"/>
          <w:szCs w:val="20"/>
          <w:color w:val="auto"/>
        </w:rPr>
      </w:pPr>
    </w:p>
    <w:p>
      <w:pPr>
        <w:ind w:left="2" w:right="20" w:firstLine="576"/>
        <w:spacing w:after="0" w:line="238" w:lineRule="auto"/>
        <w:rPr>
          <w:sz w:val="20"/>
          <w:szCs w:val="20"/>
          <w:color w:val="auto"/>
        </w:rPr>
      </w:pPr>
      <w:r>
        <w:rPr>
          <w:rFonts w:ascii="Times New Roman" w:cs="Times New Roman" w:eastAsia="Times New Roman" w:hAnsi="Times New Roman"/>
          <w:sz w:val="16"/>
          <w:szCs w:val="16"/>
          <w:color w:val="auto"/>
        </w:rPr>
        <w:t>On January 16, 2025, we announced the signing of an agreement with Bank Consortium Trust Company (“BCT”) to expand our investment management capabilities and exit our sponsor and trustee (pension) roles in Hong Kong for Mandatory Provident Fund Schemes (“MPF Schemes”). BCT will be assuming the role as sponsor and trustee for the Principal MPF Schemes. The transaction is expected to close during the first quarter of 2026, subject to regulatory approval; however, certain transaction impacts were recognized in first quarter 2025. We impaired our distribution agreement intangible asset that will cease to exist, resulting in a $20.0 million loss reported in operating expenses on our consolidated statements of operations. Additionally, our customer relationship intangible asset was classified as held-for-sale, resulting in a $77.0 million loss reported in net realized capital gains (losses) on our consolidated statements of operations. We also recorded an impairment for contract costs from pension contracts. See Note 19, Revenues from Contract with Customers, for further details.</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3. Variable Interest Entities</w:t>
      </w:r>
    </w:p>
    <w:p>
      <w:pPr>
        <w:spacing w:after="0" w:line="154" w:lineRule="exact"/>
        <w:rPr>
          <w:sz w:val="20"/>
          <w:szCs w:val="20"/>
          <w:color w:val="auto"/>
        </w:rPr>
      </w:pPr>
    </w:p>
    <w:p>
      <w:pPr>
        <w:ind w:left="2" w:right="60" w:firstLine="576"/>
        <w:spacing w:after="0" w:line="243" w:lineRule="auto"/>
        <w:rPr>
          <w:sz w:val="20"/>
          <w:szCs w:val="20"/>
          <w:color w:val="auto"/>
        </w:rPr>
      </w:pPr>
      <w:r>
        <w:rPr>
          <w:rFonts w:ascii="Times New Roman" w:cs="Times New Roman" w:eastAsia="Times New Roman" w:hAnsi="Times New Roman"/>
          <w:sz w:val="16"/>
          <w:szCs w:val="16"/>
          <w:color w:val="auto"/>
        </w:rPr>
        <w:t>We have relationships with various types of entities which may be VIEs. Certain VIEs are consolidated in our financial results. See Note 1, Nature of Operations and Significant Accounting Policies, under the caption “Consolidation” for further details of our consolidation accounting policies. We did not provide financial or other support to investees designated as VIEs for the periods ended March 31, 2025 and December 31, 2024.</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Consolidated Variable Interest Entities</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Mandatory Retirement Savings Funds</w:t>
      </w:r>
    </w:p>
    <w:p>
      <w:pPr>
        <w:spacing w:after="0" w:line="156" w:lineRule="exact"/>
        <w:rPr>
          <w:sz w:val="20"/>
          <w:szCs w:val="20"/>
          <w:color w:val="auto"/>
        </w:rPr>
      </w:pPr>
    </w:p>
    <w:p>
      <w:pPr>
        <w:ind w:left="2" w:right="80" w:firstLine="576"/>
        <w:spacing w:after="0" w:line="238" w:lineRule="auto"/>
        <w:rPr>
          <w:sz w:val="20"/>
          <w:szCs w:val="20"/>
          <w:color w:val="auto"/>
        </w:rPr>
      </w:pPr>
      <w:r>
        <w:rPr>
          <w:rFonts w:ascii="Times New Roman" w:cs="Times New Roman" w:eastAsia="Times New Roman" w:hAnsi="Times New Roman"/>
          <w:sz w:val="16"/>
          <w:szCs w:val="16"/>
          <w:color w:val="auto"/>
        </w:rPr>
        <w:t>We hold an equity interest in Chilean mandatory privatized social security funds in which we provide asset management services. We determined the mandatory privatized social security funds, which also include contributions for voluntary pension savings, voluntary non-pension savings and compensation savings accounts, are VIEs. This is because the equity holders as a group lack the power, due to voting rights or similar rights, to direct the activities of the entity that most significantly impact the entity’s economic performance and also because equity investors are protected from below -average market investment returns relative to the industry’s return, due to a regulatory guarantee that we provide. Further, we concluded we are the primary beneficiary through our power to make decisions and our significant variable interest in the funds. The purpose of the funds, which reside in legally segregated entities, is to provide long-term retirement savings. The obligation to the customer is directly related to the assets held in the funds and, as such, we present the assets as separate account assets and the obligation as separate account liabilities within our consolidated statements of financial position.</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Real Estate</w:t>
      </w:r>
    </w:p>
    <w:p>
      <w:pPr>
        <w:spacing w:after="0" w:line="192" w:lineRule="exact"/>
        <w:rPr>
          <w:sz w:val="20"/>
          <w:szCs w:val="20"/>
          <w:color w:val="auto"/>
        </w:rPr>
      </w:pPr>
    </w:p>
    <w:p>
      <w:pPr>
        <w:ind w:left="2" w:right="40" w:firstLine="576"/>
        <w:spacing w:after="0" w:line="241" w:lineRule="auto"/>
        <w:rPr>
          <w:sz w:val="20"/>
          <w:szCs w:val="20"/>
          <w:color w:val="auto"/>
        </w:rPr>
      </w:pPr>
      <w:r>
        <w:rPr>
          <w:rFonts w:ascii="Times New Roman" w:cs="Times New Roman" w:eastAsia="Times New Roman" w:hAnsi="Times New Roman"/>
          <w:sz w:val="16"/>
          <w:szCs w:val="16"/>
          <w:color w:val="auto"/>
        </w:rPr>
        <w:t>We invest in several real estate limited partnerships and limited liability companies. The entities invest in real estate properties. Certain of these entities are VIEs based on the combination of our significant economic interest and related voting rights. We determined we are the primary beneficiary as a result of our power to control the entities through our significant ownership. Due to the nature of these real estate investments, the investment balance will fluctuate as we purchase and sell interests in the entities and as capital expenditures are made to improve the underlying real estate.</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Sponsored Investment Funds</w:t>
      </w:r>
    </w:p>
    <w:p>
      <w:pPr>
        <w:spacing w:after="0" w:line="192" w:lineRule="exact"/>
        <w:rPr>
          <w:sz w:val="20"/>
          <w:szCs w:val="20"/>
          <w:color w:val="auto"/>
        </w:rPr>
      </w:pPr>
    </w:p>
    <w:p>
      <w:pPr>
        <w:ind w:left="2" w:firstLine="576"/>
        <w:spacing w:after="0" w:line="239" w:lineRule="auto"/>
        <w:rPr>
          <w:sz w:val="20"/>
          <w:szCs w:val="20"/>
          <w:color w:val="auto"/>
        </w:rPr>
      </w:pPr>
      <w:r>
        <w:rPr>
          <w:rFonts w:ascii="Times New Roman" w:cs="Times New Roman" w:eastAsia="Times New Roman" w:hAnsi="Times New Roman"/>
          <w:sz w:val="16"/>
          <w:szCs w:val="16"/>
          <w:color w:val="auto"/>
        </w:rPr>
        <w:t>We sponsor and invest in certain investment funds for which we provide asset management services. Although our asset management fee is commensurate with the services provided and consistent with fees for similar services negotiated at arms-length, we have a variable interest for funds where our other interests are more than insignificant. The funds are VIEs as the equity holders lack power through voting rights to direct the activities of the entity that most significantly impact its economic performance. We determined we are the primary beneficiary of the VIEs where our interest in the entity is more than insignificant and we are the asset manager. We deconsolidated a sponsored investment fund in 2025 due to the acquisition of substantial voting rights through investment in the fund by external investors.</w:t>
      </w:r>
    </w:p>
    <w:p>
      <w:pPr>
        <w:spacing w:after="0" w:line="3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2"/>
          </w:cols>
          <w:pgMar w:left="1278" w:top="557" w:right="1300" w:bottom="1440" w:gutter="0" w:footer="0" w:header="0"/>
        </w:sectPr>
      </w:pPr>
    </w:p>
    <w:bookmarkStart w:id="11" w:name="page12"/>
    <w:bookmarkEnd w:id="1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Residential Mortgage Loans</w:t>
      </w:r>
    </w:p>
    <w:p>
      <w:pPr>
        <w:spacing w:after="0" w:line="192" w:lineRule="exact"/>
        <w:rPr>
          <w:sz w:val="20"/>
          <w:szCs w:val="20"/>
          <w:color w:val="auto"/>
        </w:rPr>
      </w:pPr>
    </w:p>
    <w:p>
      <w:pPr>
        <w:ind w:left="2" w:right="240" w:firstLine="576"/>
        <w:spacing w:after="0" w:line="243" w:lineRule="auto"/>
        <w:rPr>
          <w:sz w:val="20"/>
          <w:szCs w:val="20"/>
          <w:color w:val="auto"/>
        </w:rPr>
      </w:pPr>
      <w:r>
        <w:rPr>
          <w:rFonts w:ascii="Times New Roman" w:cs="Times New Roman" w:eastAsia="Times New Roman" w:hAnsi="Times New Roman"/>
          <w:sz w:val="16"/>
          <w:szCs w:val="16"/>
          <w:color w:val="auto"/>
        </w:rPr>
        <w:t>We invest in asset -backed securities (“ABS”) trusts. The trusts issue various collateralized mortgage obligation certificates and purchase residential mortgage loans. The trusts are considered VIEs due to insufficient equity to sustain themselves. We concluded we are the primary beneficiary as we purchase substantially all of the certificates and have the obligation to absorb losses that could potentially be significant to the VIEs.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Asset-Backed Limited Partnership</w:t>
      </w:r>
    </w:p>
    <w:p>
      <w:pPr>
        <w:spacing w:after="0" w:line="192" w:lineRule="exact"/>
        <w:rPr>
          <w:sz w:val="20"/>
          <w:szCs w:val="20"/>
          <w:color w:val="auto"/>
        </w:rPr>
      </w:pPr>
    </w:p>
    <w:p>
      <w:pPr>
        <w:ind w:left="2" w:right="80" w:firstLine="576"/>
        <w:spacing w:after="0" w:line="243" w:lineRule="auto"/>
        <w:rPr>
          <w:sz w:val="20"/>
          <w:szCs w:val="20"/>
          <w:color w:val="auto"/>
        </w:rPr>
      </w:pPr>
      <w:r>
        <w:rPr>
          <w:rFonts w:ascii="Times New Roman" w:cs="Times New Roman" w:eastAsia="Times New Roman" w:hAnsi="Times New Roman"/>
          <w:sz w:val="16"/>
          <w:szCs w:val="16"/>
          <w:color w:val="auto"/>
        </w:rPr>
        <w:t>We invest in an ABS limited partnership. The limited partnership issues multiple notes and purchases consumer loans, auto loans, other loans and credit facilities. The limited partnership is considered a VIE due to insufficient equity to sustain itself. We concluded we are the primary beneficiary as we have purchased all of the notes and have the obligation to absorb losses and residual returns that could potentially be significant to the VIE.</w:t>
      </w:r>
    </w:p>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of Consolidated Variable Interest Entities</w:t>
      </w:r>
    </w:p>
    <w:p>
      <w:pPr>
        <w:spacing w:after="0" w:line="192" w:lineRule="exact"/>
        <w:rPr>
          <w:sz w:val="20"/>
          <w:szCs w:val="20"/>
          <w:color w:val="auto"/>
        </w:rPr>
      </w:pPr>
    </w:p>
    <w:p>
      <w:pPr>
        <w:ind w:left="2" w:right="200" w:firstLine="576"/>
        <w:spacing w:after="0" w:line="259" w:lineRule="auto"/>
        <w:rPr>
          <w:sz w:val="20"/>
          <w:szCs w:val="20"/>
          <w:color w:val="auto"/>
        </w:rPr>
      </w:pPr>
      <w:r>
        <w:rPr>
          <w:rFonts w:ascii="Times New Roman" w:cs="Times New Roman" w:eastAsia="Times New Roman" w:hAnsi="Times New Roman"/>
          <w:sz w:val="16"/>
          <w:szCs w:val="16"/>
          <w:color w:val="auto"/>
        </w:rPr>
        <w:t>The carrying amounts of our consolidated VIE assets, which can only be used to settle obligations of consolidated VIEs, and liabilities of consolidated VIEs for which creditors do not have recourse were as follows: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23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26"/>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226"/>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right"/>
              <w:ind w:right="206"/>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25"/>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0"/>
        </w:trPr>
        <w:tc>
          <w:tcPr>
            <w:tcW w:w="2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liabilities</w:t>
            </w:r>
          </w:p>
        </w:tc>
      </w:tr>
      <w:tr>
        <w:trPr>
          <w:trHeight w:val="136"/>
        </w:trPr>
        <w:tc>
          <w:tcPr>
            <w:tcW w:w="23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26"/>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0"/>
        </w:trPr>
        <w:tc>
          <w:tcPr>
            <w:tcW w:w="53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Mandatory retirement savings funds (1)</w:t>
            </w:r>
          </w:p>
        </w:tc>
        <w:tc>
          <w:tcPr>
            <w:tcW w:w="180" w:type="dxa"/>
            <w:vAlign w:val="bottom"/>
            <w:gridSpan w:val="2"/>
            <w:shd w:val="clear" w:color="auto" w:fill="CCEEFF"/>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35,005.8</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34,658.5</w:t>
            </w:r>
          </w:p>
        </w:tc>
        <w:tc>
          <w:tcPr>
            <w:tcW w:w="42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33,130.4</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32,802.2</w:t>
            </w:r>
          </w:p>
        </w:tc>
      </w:tr>
      <w:tr>
        <w:trPr>
          <w:trHeight w:val="180"/>
        </w:trPr>
        <w:tc>
          <w:tcPr>
            <w:tcW w:w="53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Real estate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848.5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814.3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69.4</w:t>
            </w:r>
          </w:p>
        </w:tc>
      </w:tr>
      <w:tr>
        <w:trPr>
          <w:trHeight w:val="180"/>
        </w:trPr>
        <w:tc>
          <w:tcPr>
            <w:tcW w:w="53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Sponsored investment funds (3)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697.1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833.7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160.3</w:t>
            </w:r>
          </w:p>
        </w:tc>
      </w:tr>
      <w:tr>
        <w:trPr>
          <w:trHeight w:val="180"/>
        </w:trPr>
        <w:tc>
          <w:tcPr>
            <w:tcW w:w="53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 (4)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806.5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r>
      <w:tr>
        <w:trPr>
          <w:trHeight w:val="180"/>
        </w:trPr>
        <w:tc>
          <w:tcPr>
            <w:tcW w:w="53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Asset-backed limited partnership (5)</w:t>
            </w: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254.6</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37,596.6</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34,743.</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center"/>
              <w:ind w:right="10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35,834.9</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33,051.8</w:t>
            </w:r>
          </w:p>
        </w:tc>
      </w:tr>
      <w:tr>
        <w:trPr>
          <w:trHeight w:val="20"/>
        </w:trPr>
        <w:tc>
          <w:tcPr>
            <w:tcW w:w="2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3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59" w:lineRule="exact"/>
        <w:rPr>
          <w:sz w:val="20"/>
          <w:szCs w:val="20"/>
          <w:color w:val="auto"/>
        </w:rPr>
      </w:pPr>
    </w:p>
    <w:p>
      <w:pPr>
        <w:ind w:left="282" w:right="260" w:hanging="282"/>
        <w:spacing w:after="0" w:line="246"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of the mandatory retirement savings funds primarily include separate account assets and equity securities. The liabilities primarily include separate account liabilities.</w:t>
      </w:r>
    </w:p>
    <w:p>
      <w:pPr>
        <w:ind w:left="282" w:hanging="282"/>
        <w:spacing w:after="0" w:line="234"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of the real estate VIEs primarily include real estate, other investments and cash. Liabilities primarily include other liabilities.</w:t>
      </w:r>
    </w:p>
    <w:p>
      <w:pPr>
        <w:ind w:left="282" w:right="100" w:hanging="282"/>
        <w:spacing w:after="0" w:line="234"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of sponsored investment funds are primarily fixed maturities and equity securities, certain of which are reported with other investments, and cash. The liabilities primarily include other liabilities. The consolidated statements of financial position included a $298.8 million and $309.9 million redeemable noncontrolling interest for sponsored investment funds as of March 31, 2025 and December 31, 2024, respectively. For certain sponsored investment funds, we have unfunded commitments to the VIE. Unfunded commitments are not liabilities on our consolidated statements of financial position because we are only required to fund additional capital when called upon to do so by the investment manager.</w:t>
      </w:r>
    </w:p>
    <w:p>
      <w:pPr>
        <w:spacing w:after="0" w:line="3"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of the residential mortgage loans VIEs primarily include residential mortgage loans. The liabilities primarily include other liabilities.</w:t>
      </w:r>
    </w:p>
    <w:p>
      <w:pPr>
        <w:spacing w:after="0" w:line="19" w:lineRule="exact"/>
        <w:rPr>
          <w:rFonts w:ascii="Times New Roman" w:cs="Times New Roman" w:eastAsia="Times New Roman" w:hAnsi="Times New Roman"/>
          <w:sz w:val="14"/>
          <w:szCs w:val="14"/>
          <w:color w:val="auto"/>
        </w:rPr>
      </w:pPr>
    </w:p>
    <w:p>
      <w:pPr>
        <w:ind w:left="282" w:right="240" w:hanging="282"/>
        <w:spacing w:after="0" w:line="237" w:lineRule="auto"/>
        <w:tabs>
          <w:tab w:leader="none" w:pos="28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of the asset-backed limited partnership VIE primarily include consumer loans, auto loans, other loans and credit facilities. These assets are reported with cash and cash equivalents, other investments and fixed maturities, trading on the consolidated statements of financial position.</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Unconsolidated Variable Interest Entities</w:t>
      </w:r>
    </w:p>
    <w:p>
      <w:pPr>
        <w:spacing w:after="0" w:line="190" w:lineRule="exact"/>
        <w:rPr>
          <w:sz w:val="20"/>
          <w:szCs w:val="20"/>
          <w:color w:val="auto"/>
        </w:rPr>
      </w:pPr>
    </w:p>
    <w:p>
      <w:pPr>
        <w:ind w:left="2" w:right="240" w:firstLine="576"/>
        <w:spacing w:after="0" w:line="247" w:lineRule="auto"/>
        <w:rPr>
          <w:sz w:val="20"/>
          <w:szCs w:val="20"/>
          <w:color w:val="auto"/>
        </w:rPr>
      </w:pPr>
      <w:r>
        <w:rPr>
          <w:rFonts w:ascii="Times New Roman" w:cs="Times New Roman" w:eastAsia="Times New Roman" w:hAnsi="Times New Roman"/>
          <w:sz w:val="16"/>
          <w:szCs w:val="16"/>
          <w:color w:val="auto"/>
        </w:rPr>
        <w:t>We hold a variable interest in a number of VIEs where we are not the primary beneficiary. Our investments in these VIEs are reported in fixed maturities, available-for-sale; fixed maturities, trading; equity securities and other investments in the consolidated statements of financial position and are described below.</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60" w:firstLine="576"/>
        <w:spacing w:after="0" w:line="243" w:lineRule="auto"/>
        <w:rPr>
          <w:sz w:val="20"/>
          <w:szCs w:val="20"/>
          <w:color w:val="auto"/>
        </w:rPr>
      </w:pPr>
      <w:r>
        <w:rPr>
          <w:rFonts w:ascii="Times New Roman" w:cs="Times New Roman" w:eastAsia="Times New Roman" w:hAnsi="Times New Roman"/>
          <w:sz w:val="16"/>
          <w:szCs w:val="16"/>
          <w:color w:val="auto"/>
        </w:rPr>
        <w:t>Unconsolidated VIEs include certain commercial mortgage-backed securities (“CMBS”), residential mortgage-backed pass- through securities (“RMBS”) and other ABS. All of these entities were deemed VIEs because the equity within these entities is insufficient to sustain them. We determined we are not the primary beneficiary in the entities within these categories of investments. This determination was based primarily on the fact we do not own the class of security that controls the unilateral right to replace the special servicer or equivalent function.</w:t>
      </w:r>
    </w:p>
    <w:p>
      <w:pPr>
        <w:spacing w:after="0" w:line="167"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We invest in cash collateralized debt obligations, collateralized bond obligations, collateralized loan obligations and other collateralized structures, which are VIEs due to insufficient equity to sustain the entities. We have determined we are not the primary beneficiary of these entities primarily because we do not control the economic performance of the entities and were not involved with the design of the entities or because we do not have a potentially significant variable interest in the entities for which we are the asset manager.</w:t>
      </w:r>
    </w:p>
    <w:p>
      <w:pPr>
        <w:spacing w:after="0" w:line="167"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We have invested in various VIE trusts and similar entities as a debt holder. Most of these entities are classified as VIEs due to insufficient equity to sustain them. In addition, we have an entity classified as a VIE based on the combination of our significant economic interest and lack of voting rights. We have determined we are not the primary beneficiary primarily because we do not control the economic performance of the entities and were not involved with the design of the entities.</w:t>
      </w:r>
    </w:p>
    <w:p>
      <w:pPr>
        <w:spacing w:after="0" w:line="167" w:lineRule="exact"/>
        <w:rPr>
          <w:sz w:val="20"/>
          <w:szCs w:val="20"/>
          <w:color w:val="auto"/>
        </w:rPr>
      </w:pPr>
    </w:p>
    <w:p>
      <w:pPr>
        <w:ind w:right="260" w:firstLine="576"/>
        <w:spacing w:after="0" w:line="243" w:lineRule="auto"/>
        <w:rPr>
          <w:sz w:val="20"/>
          <w:szCs w:val="20"/>
          <w:color w:val="auto"/>
        </w:rPr>
      </w:pPr>
      <w:r>
        <w:rPr>
          <w:rFonts w:ascii="Times New Roman" w:cs="Times New Roman" w:eastAsia="Times New Roman" w:hAnsi="Times New Roman"/>
          <w:sz w:val="16"/>
          <w:szCs w:val="16"/>
          <w:color w:val="auto"/>
        </w:rPr>
        <w:t>We have invested in partnerships and other funds, which are classified as VIEs. The entities are VIEs as equity holders lack the power to control the most significant activities of the entities because the equity holders do not have either the ability by a simple majority to exercise substantive kick-out rights or substantive participating rights. We have determined we are not the primary beneficiary because we do not have the power to direct the most significant activities of the entities.</w:t>
      </w:r>
    </w:p>
    <w:p>
      <w:pPr>
        <w:spacing w:after="0" w:line="167"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As previously discussed, we sponsor and invest in certain investment funds that are VIEs. We determined we are not the primary beneficiary of the VIEs for which we are the asset manager but do not have a potentially significant variable interest in the funds.</w:t>
      </w:r>
    </w:p>
    <w:p>
      <w:pPr>
        <w:spacing w:after="0" w:line="155"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We hold an equity interest in Mexican mandatory privatized social security funds in which we provide asset management services. Our equity interest in the funds is considered a variable interest. We concluded the funds are VIEs because the equity holders as a group lack decision-making ability through their voting rights. We are not the primary beneficiary of the VIEs because although we, as the asset manager, have the power to direct the activities of the VIEs, we do not have a potentially significant variable interest in the funds.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7" w:right="1260" w:bottom="1440" w:gutter="0" w:footer="0" w:header="0"/>
        </w:sectPr>
      </w:pPr>
    </w:p>
    <w:bookmarkStart w:id="13" w:name="page14"/>
    <w:bookmarkEnd w:id="13"/>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carrying value and maximum loss exposure for our unconsolidated VIEs were as follows: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Maximum exposure to</w:t>
            </w:r>
          </w:p>
        </w:tc>
      </w:tr>
      <w:tr>
        <w:trPr>
          <w:trHeight w:val="170"/>
        </w:trPr>
        <w:tc>
          <w:tcPr>
            <w:tcW w:w="2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Asset carrying value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loss (1)</w:t>
            </w:r>
          </w:p>
        </w:tc>
      </w:tr>
      <w:tr>
        <w:trPr>
          <w:trHeight w:val="136"/>
        </w:trPr>
        <w:tc>
          <w:tcPr>
            <w:tcW w:w="23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right"/>
              <w:ind w:right="3"/>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680" w:type="dxa"/>
            <w:vAlign w:val="bottom"/>
            <w:gridSpan w:val="3"/>
          </w:tcPr>
          <w:p>
            <w:pPr>
              <w:jc w:val="right"/>
              <w:ind w:right="1183"/>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309.2</w:t>
            </w:r>
          </w:p>
        </w:tc>
        <w:tc>
          <w:tcPr>
            <w:tcW w:w="3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360.0</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3,763.7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3,907.2</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5,215.7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5,600.3</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6,634.2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6,613.2</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9,084.9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10,779.7</w:t>
            </w: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68.4</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215.2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215.2</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306.8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306.8</w:t>
            </w: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89.6</w:t>
            </w: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limited partnership and fund interests (3)</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2,987.1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4,964.5</w:t>
            </w:r>
          </w:p>
        </w:tc>
      </w:tr>
      <w:tr>
        <w:trPr>
          <w:trHeight w:val="180"/>
        </w:trPr>
        <w:tc>
          <w:tcPr>
            <w:tcW w:w="23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308.2</w:t>
            </w:r>
          </w:p>
        </w:tc>
        <w:tc>
          <w:tcPr>
            <w:tcW w:w="3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3,674.2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3,881.3</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5,188.0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5,634.3</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6,560.4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6,518.7</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8,904.0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10,580.8</w:t>
            </w: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44.2</w:t>
            </w: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135.3</w:t>
            </w:r>
          </w:p>
        </w:tc>
      </w:tr>
      <w:tr>
        <w:trPr>
          <w:trHeight w:val="180"/>
        </w:trPr>
        <w:tc>
          <w:tcPr>
            <w:tcW w:w="6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w:t>
            </w: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85.1</w:t>
            </w:r>
          </w:p>
        </w:tc>
      </w:tr>
      <w:tr>
        <w:trPr>
          <w:trHeight w:val="180"/>
        </w:trPr>
        <w:tc>
          <w:tcPr>
            <w:tcW w:w="6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62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limited partnership and fund interests (3)</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2,766.4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4,804.6</w:t>
            </w:r>
          </w:p>
        </w:tc>
      </w:tr>
      <w:tr>
        <w:trPr>
          <w:trHeight w:val="96"/>
        </w:trPr>
        <w:tc>
          <w:tcPr>
            <w:tcW w:w="232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r>
    </w:tbl>
    <w:p>
      <w:pPr>
        <w:spacing w:after="0" w:line="59" w:lineRule="exact"/>
        <w:rPr>
          <w:sz w:val="20"/>
          <w:szCs w:val="20"/>
          <w:color w:val="auto"/>
        </w:rPr>
      </w:pPr>
    </w:p>
    <w:p>
      <w:pPr>
        <w:ind w:left="282" w:right="100" w:hanging="282"/>
        <w:spacing w:after="0" w:line="238" w:lineRule="auto"/>
        <w:tabs>
          <w:tab w:leader="none" w:pos="2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risk of loss is limited to our initial investment measured at amortized cost excluding portfolio layer method basis adjustments for fixed maturities, available-for-sale, plus any unfunded commitments and/or guarantees and similar provisions for collateralized debt obligations and other debt obligations. Our risk of loss is limited to our investment measured at fair value for our fixed maturities, trading and equity securities. Our risk of loss is limited to our carrying value plus any unfunded commitments and/or guarantees and similar provisions for our other investments. A carrying value of zero is used if distributions have been received in excess of our investment, resulting in a negative carrying value for the investment. Unfunded commitments are not liabilities on our consolidated statements of financial position because we are only required to fund additional equity when called upon to do so by the general partner or investment manager.</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ind w:left="282" w:right="280" w:hanging="282"/>
        <w:spacing w:after="0" w:line="237" w:lineRule="auto"/>
        <w:tabs>
          <w:tab w:leader="none" w:pos="2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2025 and December 31, 2024, the maximum exposure to loss for other limited partnership and fund interests includes$242.0 million and $236.1 million, respectively, of debt within certain of our managed international real estate funds that is fully secured by assets whose value exceeds the amount of the debt, but also includes recourse to the investment manager.</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4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Money Market Funds</w:t>
      </w:r>
    </w:p>
    <w:p>
      <w:pPr>
        <w:spacing w:after="0" w:line="192" w:lineRule="exact"/>
        <w:rPr>
          <w:sz w:val="20"/>
          <w:szCs w:val="20"/>
          <w:color w:val="auto"/>
        </w:rPr>
      </w:pPr>
    </w:p>
    <w:p>
      <w:pPr>
        <w:ind w:right="100" w:firstLine="576"/>
        <w:spacing w:after="0" w:line="241" w:lineRule="auto"/>
        <w:rPr>
          <w:sz w:val="20"/>
          <w:szCs w:val="20"/>
          <w:color w:val="auto"/>
        </w:rPr>
      </w:pPr>
      <w:r>
        <w:rPr>
          <w:rFonts w:ascii="Times New Roman" w:cs="Times New Roman" w:eastAsia="Times New Roman" w:hAnsi="Times New Roman"/>
          <w:sz w:val="16"/>
          <w:szCs w:val="16"/>
          <w:color w:val="auto"/>
        </w:rPr>
        <w:t>We are the investment manager for certain money market mutual funds. These types of funds are exempt from assessment under any consolidation model due to a scope exception for money market funds registered under Rule 2a-7 of the Investment Company Act of 1940 or similar funds. As of March 31, 2025 and December 31, 2024, money market mutual funds we manage held $4.4 billion and $4.5 billion in total assets, respectively. We have no contractual obligation to contribute to these funds; however, we provide support through the waiver of fees and through expense reimbursements. The amount of fees waived and expenses reimbursed was insignificant.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w:t>
      </w:r>
    </w:p>
    <w:p>
      <w:pPr>
        <w:spacing w:after="0" w:line="190"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Our investments include assets backing reserves as part of a coinsurance with funds withheld agreement. The funds withheld invested assets are reported within their respective line items, primarily consisting of fixed maturities available-for-sale, mortgage loans and other investments. See Note 11, Reinsurance, for more information on the funds withheld invested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Fixed Maturities</w:t>
      </w:r>
    </w:p>
    <w:p>
      <w:pPr>
        <w:spacing w:after="0" w:line="190" w:lineRule="exact"/>
        <w:rPr>
          <w:sz w:val="20"/>
          <w:szCs w:val="20"/>
          <w:color w:val="auto"/>
        </w:rPr>
      </w:pPr>
    </w:p>
    <w:p>
      <w:pPr>
        <w:ind w:right="20" w:firstLine="576"/>
        <w:spacing w:after="0" w:line="237" w:lineRule="auto"/>
        <w:rPr>
          <w:sz w:val="20"/>
          <w:szCs w:val="20"/>
          <w:color w:val="auto"/>
        </w:rPr>
      </w:pPr>
      <w:r>
        <w:rPr>
          <w:rFonts w:ascii="Times New Roman" w:cs="Times New Roman" w:eastAsia="Times New Roman" w:hAnsi="Times New Roman"/>
          <w:sz w:val="16"/>
          <w:szCs w:val="16"/>
          <w:color w:val="auto"/>
        </w:rPr>
        <w:t>Fixed maturities include bonds, ABS, redeemable preferred stock and certain non-redeemable preferred securities. Equity securities include mutual funds, common stock, non-redeemable preferred stock and required regulatory investments. We classify fixed maturities as either available-for-sale or trading at the time of the purchase and, accordingly, carry them at fair value. Equity securities are also carried at fair value. See Note 17, Fair Value Measurements, for methodologies related to the determination of fair value. Unrealized gains and losses related to fixed maturities, available -for-sale, excluding those in fair value hedging relationships, are reflected in stockholders’ equity, net of adjustments associated with related actuarial balances, derivatives in cash flow hedge relationships and applicable income taxes. Mark-to-market adjustments on certain equity securities and mark-to- market adjustments on certain fixed maturities, trading are reflected in net realized capital gains (losses). Mark-to-market adjustments on certain fixed maturities, trading are reflected in market risk benefit remeasurement (gain) loss. Unrealized gains and losses related to hedged portions of fixed maturities, available- for-sale in fair value hedging relationships are reflected in net investment income. Mark-to -market adjustments related to certain securities carried at fair value with an investment objective to realize economic value through mark-to-market changes are reflected in net investment income.</w:t>
      </w:r>
    </w:p>
    <w:p>
      <w:pPr>
        <w:spacing w:after="0" w:line="174"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The amortized cost of fixed maturities includes cost adjusted for amortization of premiums and discounts, computed using the interest method. The amortized cost of fixed maturities, available-for-sale is adjusted for changes in fair value of the hedged portions of securities in fair value hedging relationships and excludes accrued interest receivable. Accrued interest receivable is reported in accrued investment income on the consolidated statements of financial position. Fixed maturities, available-for-sale are subject to an allowance for credit loss and changes in the allowance are reported in net income as a component of net realized capital gains (losses). Interest income, as well as prepayment fees and the amortization of the related premium or discount, is reported in net investment income. For loan-backed and structured securities, we recognize income using a constant effective yield based on currently anticipated cash flows.</w:t>
      </w: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0"/>
          </w:cols>
          <w:pgMar w:left="1280" w:top="557" w:right="1240" w:bottom="1440" w:gutter="0" w:footer="0" w:header="0"/>
        </w:sectPr>
      </w:pPr>
    </w:p>
    <w:bookmarkStart w:id="15" w:name="page16"/>
    <w:bookmarkEnd w:id="15"/>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The amortized cost, gross unrealized gains and losses, allowance for credit loss and fair value of fixed maturities, available-for-sale were as</w:t>
      </w:r>
    </w:p>
    <w:p>
      <w:pPr>
        <w:spacing w:after="0" w:line="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follows:</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for credit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cost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1,895.1</w:t>
            </w:r>
          </w:p>
        </w:tc>
        <w:tc>
          <w:tcPr>
            <w:tcW w:w="10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10.2</w:t>
            </w:r>
          </w:p>
        </w:tc>
        <w:tc>
          <w:tcPr>
            <w:tcW w:w="340" w:type="dxa"/>
            <w:vAlign w:val="bottom"/>
            <w:gridSpan w:val="4"/>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246.7</w:t>
            </w:r>
          </w:p>
        </w:tc>
        <w:tc>
          <w:tcPr>
            <w:tcW w:w="340" w:type="dxa"/>
            <w:vAlign w:val="bottom"/>
            <w:gridSpan w:val="4"/>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1,658.6</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494.0</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7,241.4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1,063.1</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6,192.9</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39,581.0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566.4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3,469.1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36,671.5</w:t>
            </w:r>
          </w:p>
        </w:tc>
        <w:tc>
          <w:tcPr>
            <w:tcW w:w="0" w:type="dxa"/>
            <w:vAlign w:val="bottom"/>
          </w:tcPr>
          <w:p>
            <w:pPr>
              <w:spacing w:after="0"/>
              <w:rPr>
                <w:sz w:val="1"/>
                <w:szCs w:val="1"/>
                <w:color w:val="auto"/>
              </w:rPr>
            </w:pPr>
          </w:p>
        </w:tc>
      </w:tr>
      <w:tr>
        <w:trPr>
          <w:trHeight w:val="167"/>
        </w:trPr>
        <w:tc>
          <w:tcPr>
            <w:tcW w:w="344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3,763.7</w:t>
            </w:r>
          </w:p>
        </w:tc>
        <w:tc>
          <w:tcPr>
            <w:tcW w:w="0" w:type="dxa"/>
            <w:vAlign w:val="bottom"/>
          </w:tcPr>
          <w:p>
            <w:pPr>
              <w:spacing w:after="0"/>
              <w:rPr>
                <w:sz w:val="1"/>
                <w:szCs w:val="1"/>
                <w:color w:val="auto"/>
              </w:rPr>
            </w:pPr>
          </w:p>
        </w:tc>
      </w:tr>
      <w:tr>
        <w:trPr>
          <w:trHeight w:val="193"/>
        </w:trPr>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392.8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5,215.7</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6,613.2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29.2</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6,634.2</w:t>
            </w:r>
          </w:p>
        </w:tc>
        <w:tc>
          <w:tcPr>
            <w:tcW w:w="0" w:type="dxa"/>
            <w:vAlign w:val="bottom"/>
          </w:tcPr>
          <w:p>
            <w:pPr>
              <w:spacing w:after="0"/>
              <w:rPr>
                <w:sz w:val="1"/>
                <w:szCs w:val="1"/>
                <w:color w:val="auto"/>
              </w:rPr>
            </w:pPr>
          </w:p>
        </w:tc>
      </w:tr>
      <w:tr>
        <w:trPr>
          <w:trHeight w:val="180"/>
        </w:trPr>
        <w:tc>
          <w:tcPr>
            <w:tcW w:w="34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9,514.9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65.6</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484.2</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9,096.1</w:t>
            </w:r>
          </w:p>
        </w:tc>
        <w:tc>
          <w:tcPr>
            <w:tcW w:w="0" w:type="dxa"/>
            <w:vAlign w:val="bottom"/>
          </w:tcPr>
          <w:p>
            <w:pPr>
              <w:spacing w:after="0"/>
              <w:rPr>
                <w:sz w:val="1"/>
                <w:szCs w:val="1"/>
                <w:color w:val="auto"/>
              </w:rPr>
            </w:pPr>
          </w:p>
        </w:tc>
      </w:tr>
      <w:tr>
        <w:trPr>
          <w:trHeight w:val="147"/>
        </w:trPr>
        <w:tc>
          <w:tcPr>
            <w:tcW w:w="3440" w:type="dxa"/>
            <w:vAlign w:val="bottom"/>
            <w:gridSpan w:val="2"/>
            <w:shd w:val="clear" w:color="auto" w:fill="CCEEFF"/>
          </w:tcPr>
          <w:p>
            <w:pPr>
              <w:ind w:left="200"/>
              <w:spacing w:after="0" w:line="147" w:lineRule="exact"/>
              <w:rPr>
                <w:sz w:val="20"/>
                <w:szCs w:val="20"/>
                <w:color w:val="auto"/>
              </w:rPr>
            </w:pPr>
            <w:r>
              <w:rPr>
                <w:rFonts w:ascii="Times New Roman" w:cs="Times New Roman" w:eastAsia="Times New Roman" w:hAnsi="Times New Roman"/>
                <w:sz w:val="16"/>
                <w:szCs w:val="16"/>
                <w:color w:val="auto"/>
              </w:rPr>
              <w:t>Total excluding portfolio layer method basis</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74,909.1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732.1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69,726.7</w:t>
            </w:r>
          </w:p>
        </w:tc>
        <w:tc>
          <w:tcPr>
            <w:tcW w:w="0" w:type="dxa"/>
            <w:vAlign w:val="bottom"/>
          </w:tcPr>
          <w:p>
            <w:pPr>
              <w:spacing w:after="0"/>
              <w:rPr>
                <w:sz w:val="1"/>
                <w:szCs w:val="1"/>
                <w:color w:val="auto"/>
              </w:rPr>
            </w:pPr>
          </w:p>
        </w:tc>
      </w:tr>
      <w:tr>
        <w:trPr>
          <w:trHeight w:val="19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440" w:type="dxa"/>
            <w:vAlign w:val="bottom"/>
            <w:gridSpan w:val="2"/>
          </w:tcPr>
          <w:p>
            <w:pPr>
              <w:ind w:left="200"/>
              <w:spacing w:after="0" w:line="167" w:lineRule="exact"/>
              <w:rPr>
                <w:sz w:val="20"/>
                <w:szCs w:val="20"/>
                <w:color w:val="auto"/>
              </w:rPr>
            </w:pPr>
            <w:r>
              <w:rPr>
                <w:rFonts w:ascii="Times New Roman" w:cs="Times New Roman" w:eastAsia="Times New Roman" w:hAnsi="Times New Roman"/>
                <w:sz w:val="16"/>
                <w:szCs w:val="16"/>
                <w:color w:val="auto"/>
              </w:rPr>
              <w:t>Unallocated portfolio layer method basis</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3"/>
        </w:trPr>
        <w:tc>
          <w:tcPr>
            <w:tcW w:w="34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adjustment (3)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74,871.6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769.6</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4"/>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5,907.5</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7.0</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69,726.7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for credit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1,937.4</w:t>
            </w:r>
          </w:p>
        </w:tc>
        <w:tc>
          <w:tcPr>
            <w:tcW w:w="10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40" w:type="dxa"/>
            <w:vAlign w:val="bottom"/>
            <w:gridSpan w:val="4"/>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299.7</w:t>
            </w:r>
          </w:p>
        </w:tc>
        <w:tc>
          <w:tcPr>
            <w:tcW w:w="34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1,637.9</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495.7</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7,207.8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1,141.7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6,076.5</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38,911.1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509.9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3,699.9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35,702.6</w:t>
            </w:r>
          </w:p>
        </w:tc>
        <w:tc>
          <w:tcPr>
            <w:tcW w:w="0" w:type="dxa"/>
            <w:vAlign w:val="bottom"/>
          </w:tcPr>
          <w:p>
            <w:pPr>
              <w:spacing w:after="0"/>
              <w:rPr>
                <w:sz w:val="1"/>
                <w:szCs w:val="1"/>
                <w:color w:val="auto"/>
              </w:rPr>
            </w:pPr>
          </w:p>
        </w:tc>
      </w:tr>
      <w:tr>
        <w:trPr>
          <w:trHeight w:val="167"/>
        </w:trPr>
        <w:tc>
          <w:tcPr>
            <w:tcW w:w="344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3,674.2</w:t>
            </w:r>
          </w:p>
        </w:tc>
        <w:tc>
          <w:tcPr>
            <w:tcW w:w="0" w:type="dxa"/>
            <w:vAlign w:val="bottom"/>
          </w:tcPr>
          <w:p>
            <w:pPr>
              <w:spacing w:after="0"/>
              <w:rPr>
                <w:sz w:val="1"/>
                <w:szCs w:val="1"/>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450.9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5,188.0</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6,518.7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6,560.4</w:t>
            </w:r>
          </w:p>
        </w:tc>
        <w:tc>
          <w:tcPr>
            <w:tcW w:w="0" w:type="dxa"/>
            <w:vAlign w:val="bottom"/>
          </w:tcPr>
          <w:p>
            <w:pPr>
              <w:spacing w:after="0"/>
              <w:rPr>
                <w:sz w:val="1"/>
                <w:szCs w:val="1"/>
                <w:color w:val="auto"/>
              </w:rPr>
            </w:pPr>
          </w:p>
        </w:tc>
      </w:tr>
      <w:tr>
        <w:trPr>
          <w:trHeight w:val="180"/>
        </w:trPr>
        <w:tc>
          <w:tcPr>
            <w:tcW w:w="34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9,446.2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580.2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8,915.7</w:t>
            </w:r>
          </w:p>
        </w:tc>
        <w:tc>
          <w:tcPr>
            <w:tcW w:w="0" w:type="dxa"/>
            <w:vAlign w:val="bottom"/>
          </w:tcPr>
          <w:p>
            <w:pPr>
              <w:spacing w:after="0"/>
              <w:rPr>
                <w:sz w:val="1"/>
                <w:szCs w:val="1"/>
                <w:color w:val="auto"/>
              </w:rPr>
            </w:pPr>
          </w:p>
        </w:tc>
      </w:tr>
      <w:tr>
        <w:trPr>
          <w:trHeight w:val="147"/>
        </w:trPr>
        <w:tc>
          <w:tcPr>
            <w:tcW w:w="3440" w:type="dxa"/>
            <w:vAlign w:val="bottom"/>
            <w:gridSpan w:val="2"/>
            <w:shd w:val="clear" w:color="auto" w:fill="CCEEFF"/>
          </w:tcPr>
          <w:p>
            <w:pPr>
              <w:ind w:left="200"/>
              <w:spacing w:after="0" w:line="147" w:lineRule="exact"/>
              <w:rPr>
                <w:sz w:val="20"/>
                <w:szCs w:val="20"/>
                <w:color w:val="auto"/>
              </w:rPr>
            </w:pPr>
            <w:r>
              <w:rPr>
                <w:rFonts w:ascii="Times New Roman" w:cs="Times New Roman" w:eastAsia="Times New Roman" w:hAnsi="Times New Roman"/>
                <w:sz w:val="16"/>
                <w:szCs w:val="16"/>
                <w:color w:val="auto"/>
              </w:rPr>
              <w:t>Total excluding portfolio layer method basis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74,104.1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68,251.0</w:t>
            </w:r>
          </w:p>
        </w:tc>
        <w:tc>
          <w:tcPr>
            <w:tcW w:w="0" w:type="dxa"/>
            <w:vAlign w:val="bottom"/>
          </w:tcPr>
          <w:p>
            <w:pPr>
              <w:spacing w:after="0"/>
              <w:rPr>
                <w:sz w:val="1"/>
                <w:szCs w:val="1"/>
                <w:color w:val="auto"/>
              </w:rPr>
            </w:pPr>
          </w:p>
        </w:tc>
      </w:tr>
      <w:tr>
        <w:trPr>
          <w:trHeight w:val="167"/>
        </w:trPr>
        <w:tc>
          <w:tcPr>
            <w:tcW w:w="3440" w:type="dxa"/>
            <w:vAlign w:val="bottom"/>
            <w:gridSpan w:val="2"/>
          </w:tcPr>
          <w:p>
            <w:pPr>
              <w:ind w:left="200"/>
              <w:spacing w:after="0" w:line="167" w:lineRule="exact"/>
              <w:rPr>
                <w:sz w:val="20"/>
                <w:szCs w:val="20"/>
                <w:color w:val="auto"/>
              </w:rPr>
            </w:pPr>
            <w:r>
              <w:rPr>
                <w:rFonts w:ascii="Times New Roman" w:cs="Times New Roman" w:eastAsia="Times New Roman" w:hAnsi="Times New Roman"/>
                <w:sz w:val="16"/>
                <w:szCs w:val="16"/>
                <w:color w:val="auto"/>
              </w:rPr>
              <w:t>Unallocated portfolio layer method basis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adjustment (3)</w:t>
            </w:r>
          </w:p>
        </w:tc>
        <w:tc>
          <w:tcPr>
            <w:tcW w:w="1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344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74,048.4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700.3</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6,479.0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68,251.0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540" w:hanging="282"/>
        <w:spacing w:after="0" w:line="246"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Amortized cost excludes accrued interest receivable of $475.6 million and $647.3 million as of March 31, 2025 and December 31, 2024, respectively.</w:t>
      </w:r>
    </w:p>
    <w:p>
      <w:pPr>
        <w:ind w:left="282" w:hanging="282"/>
        <w:spacing w:after="0" w:line="234"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ind w:left="282" w:right="400" w:hanging="282"/>
        <w:spacing w:after="0" w:line="238" w:lineRule="auto"/>
        <w:tabs>
          <w:tab w:leader="none" w:pos="28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unallocated basis adjustments related to fair value hedges utilizing the portfolio layer method. See Note 5, Derivative Financial Instruments, for further details.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amortized cost and fair value of fixed maturities, available-for-sale as of March 31, 2025, by expected maturity,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 cost (1)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36"/>
        </w:trPr>
        <w:tc>
          <w:tcPr>
            <w:tcW w:w="23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right"/>
              <w:ind w:right="43"/>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77"/>
              </w:rPr>
              <w:t>millions)</w:t>
            </w:r>
          </w:p>
        </w:tc>
        <w:tc>
          <w:tcPr>
            <w:tcW w:w="860" w:type="dxa"/>
            <w:vAlign w:val="bottom"/>
          </w:tcPr>
          <w:p>
            <w:pPr>
              <w:spacing w:after="0"/>
              <w:rPr>
                <w:sz w:val="11"/>
                <w:szCs w:val="11"/>
                <w:color w:val="auto"/>
              </w:rPr>
            </w:pPr>
          </w:p>
        </w:tc>
      </w:tr>
      <w:tr>
        <w:trPr>
          <w:trHeight w:val="180"/>
        </w:trPr>
        <w:tc>
          <w:tcPr>
            <w:tcW w:w="6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1,623.6</w:t>
            </w:r>
          </w:p>
        </w:tc>
        <w:tc>
          <w:tcPr>
            <w:tcW w:w="420" w:type="dxa"/>
            <w:vAlign w:val="bottom"/>
            <w:gridSpan w:val="2"/>
            <w:shd w:val="clear" w:color="auto" w:fill="CCEEFF"/>
          </w:tcPr>
          <w:p>
            <w:pPr>
              <w:jc w:val="right"/>
              <w:ind w:right="12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1,629.8</w:t>
            </w:r>
          </w:p>
        </w:tc>
      </w:tr>
      <w:tr>
        <w:trPr>
          <w:trHeight w:val="180"/>
        </w:trPr>
        <w:tc>
          <w:tcPr>
            <w:tcW w:w="6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Due after one year through five years</w:t>
            </w:r>
          </w:p>
        </w:tc>
        <w:tc>
          <w:tcPr>
            <w:tcW w:w="3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8,966.3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8,841.9</w:t>
            </w:r>
          </w:p>
        </w:tc>
      </w:tr>
      <w:tr>
        <w:trPr>
          <w:trHeight w:val="180"/>
        </w:trPr>
        <w:tc>
          <w:tcPr>
            <w:tcW w:w="69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Due after five years through ten years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10,131.2</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9,861.3</w:t>
            </w:r>
          </w:p>
        </w:tc>
      </w:tr>
      <w:tr>
        <w:trPr>
          <w:trHeight w:val="180"/>
        </w:trPr>
        <w:tc>
          <w:tcPr>
            <w:tcW w:w="69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Due after ten years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28,552.4</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24,684.0</w:t>
            </w:r>
          </w:p>
        </w:tc>
      </w:tr>
      <w:tr>
        <w:trPr>
          <w:trHeight w:val="172"/>
        </w:trPr>
        <w:tc>
          <w:tcPr>
            <w:tcW w:w="69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Subtotal</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49,273.5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45,017.0</w:t>
            </w:r>
          </w:p>
        </w:tc>
      </w:tr>
      <w:tr>
        <w:trPr>
          <w:trHeight w:val="180"/>
        </w:trPr>
        <w:tc>
          <w:tcPr>
            <w:tcW w:w="69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Mortgage-backed and other asset-backed securities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25,635.6</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24,709.7</w:t>
            </w:r>
          </w:p>
        </w:tc>
      </w:tr>
      <w:tr>
        <w:trPr>
          <w:trHeight w:val="172"/>
        </w:trPr>
        <w:tc>
          <w:tcPr>
            <w:tcW w:w="69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74,909.1</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69,726.7</w:t>
            </w:r>
          </w:p>
        </w:tc>
      </w:tr>
      <w:tr>
        <w:trPr>
          <w:trHeight w:val="20"/>
        </w:trPr>
        <w:tc>
          <w:tcPr>
            <w:tcW w:w="2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unallocated basis adjustments related to fair value hedges utilizing the portfolio layer method.</w:t>
      </w:r>
    </w:p>
    <w:p>
      <w:pPr>
        <w:spacing w:after="0" w:line="188"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Actual maturities may differ because borrowers may have the right to call or prepay obligations. Our portfolio is diversified by industry, issuer and asset class. Credit concentrations are managed to established limits.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Realized Capital Gains and Losses</w:t>
      </w:r>
    </w:p>
    <w:p>
      <w:pPr>
        <w:spacing w:after="0" w:line="190" w:lineRule="exact"/>
        <w:rPr>
          <w:sz w:val="20"/>
          <w:szCs w:val="20"/>
          <w:color w:val="auto"/>
        </w:rPr>
      </w:pPr>
    </w:p>
    <w:p>
      <w:pPr>
        <w:ind w:right="20" w:firstLine="576"/>
        <w:spacing w:after="0" w:line="276" w:lineRule="auto"/>
        <w:rPr>
          <w:sz w:val="20"/>
          <w:szCs w:val="20"/>
          <w:color w:val="auto"/>
        </w:rPr>
      </w:pPr>
      <w:r>
        <w:rPr>
          <w:rFonts w:ascii="Times New Roman" w:cs="Times New Roman" w:eastAsia="Times New Roman" w:hAnsi="Times New Roman"/>
          <w:sz w:val="14"/>
          <w:szCs w:val="14"/>
          <w:color w:val="auto"/>
        </w:rPr>
        <w:t>Net realized capital gains and losses on sales of investments are determined on the basis of specific identification. In general, in addition to realized capital gains and losses on investment sales and periodic settlements on derivatives not designated as hedges, we report gains and losses related to the following in net realized capital gains (losses) on the consolidated statements of operations: mark -to -market adjustments on certain equity securities, mark -to -market adjustments on certain fixed maturities, trading, mark-to-market adjustments on sponsored investment funds, mark-to-market adjustments on derivatives not designated as hedges, cash flow hedge gains (losses) when the hedged item impacts realized capital gains (losses), changes in the valuation allowance for fixed maturities available-for-sale and certain financing receivables, impairments of real estate held for investment and impairments on equity method investments. Investment gains and losses on sales of certain real estate held for sale due to investment strategy and mark-to- market adjustments on certain securities carried at fair value with an investment objective to realize economic value through mark-to-market changes are reported as net investment income and are excluded from net realized capital gains (losses).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7" w:name="page18"/>
    <w:bookmarkEnd w:id="1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5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 w:right="120" w:firstLine="576"/>
        <w:spacing w:after="0" w:line="239" w:lineRule="auto"/>
        <w:rPr>
          <w:sz w:val="20"/>
          <w:szCs w:val="20"/>
          <w:color w:val="auto"/>
        </w:rPr>
      </w:pPr>
      <w:r>
        <w:rPr>
          <w:rFonts w:ascii="Times New Roman" w:cs="Times New Roman" w:eastAsia="Times New Roman" w:hAnsi="Times New Roman"/>
          <w:sz w:val="16"/>
          <w:szCs w:val="16"/>
          <w:color w:val="auto"/>
        </w:rPr>
        <w:t>The major components of net realized capital gains (losses) on investments are shown below and are net of amounts on funds withheld invested assets that are passed directly to the reinsurer. See Note 11, Reinsurance, for further details. The amounts below do not include net realized capital gains (losses) on funds withheld assets that are not passed to the reinsurer, which are separately reported on the consolidated statements of operations. Net realized capital gains (losses) on funds withheld assets includes gains (losses) realized upon sale of assets put into the funds withheld at the start of a reinsurance transaction for the unrealized gain (losses) on the date of transfer into the funds withheld, the change in the valuation allowance on funds withheld commercial mortgage loans and unrealized gains and losses related to the change in fair value of funds withheld fixed maturities, trading, equity securities and derivatives.</w:t>
      </w:r>
    </w:p>
    <w:p>
      <w:pPr>
        <w:spacing w:after="0" w:line="181"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80" w:type="dxa"/>
            <w:vAlign w:val="bottom"/>
            <w:tcBorders>
              <w:bottom w:val="single" w:sz="8" w:color="auto"/>
            </w:tcBorders>
            <w:gridSpan w:val="6"/>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23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23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00" w:type="dxa"/>
            <w:vAlign w:val="bottom"/>
            <w:gridSpan w:val="3"/>
          </w:tcPr>
          <w:p>
            <w:pPr>
              <w:jc w:val="right"/>
              <w:ind w:right="8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20" w:type="dxa"/>
            <w:vAlign w:val="bottom"/>
          </w:tcPr>
          <w:p>
            <w:pPr>
              <w:spacing w:after="0"/>
              <w:rPr>
                <w:sz w:val="11"/>
                <w:szCs w:val="1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4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2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Gross gains</w:t>
            </w:r>
          </w:p>
        </w:tc>
        <w:tc>
          <w:tcPr>
            <w:tcW w:w="5020" w:type="dxa"/>
            <w:vAlign w:val="bottom"/>
            <w:gridSpan w:val="2"/>
          </w:tcPr>
          <w:p>
            <w:pPr>
              <w:jc w:val="right"/>
              <w:ind w:right="657"/>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20" w:type="dxa"/>
            <w:vAlign w:val="bottom"/>
          </w:tcPr>
          <w:p>
            <w:pPr>
              <w:spacing w:after="0"/>
              <w:rPr>
                <w:sz w:val="15"/>
                <w:szCs w:val="15"/>
                <w:color w:val="auto"/>
              </w:rPr>
            </w:pPr>
          </w:p>
        </w:tc>
        <w:tc>
          <w:tcPr>
            <w:tcW w:w="480" w:type="dxa"/>
            <w:vAlign w:val="bottom"/>
            <w:gridSpan w:val="2"/>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23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Gross losses</w:t>
            </w:r>
          </w:p>
        </w:tc>
        <w:tc>
          <w:tcPr>
            <w:tcW w:w="4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(30.3)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r>
      <w:tr>
        <w:trPr>
          <w:trHeight w:val="180"/>
        </w:trPr>
        <w:tc>
          <w:tcPr>
            <w:tcW w:w="2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credit losses (1)</w:t>
            </w:r>
          </w:p>
        </w:tc>
        <w:tc>
          <w:tcPr>
            <w:tcW w:w="4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23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Hedging, net (2)</w:t>
            </w:r>
          </w:p>
        </w:tc>
        <w:tc>
          <w:tcPr>
            <w:tcW w:w="4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 (3)</w:t>
            </w:r>
          </w:p>
        </w:tc>
        <w:tc>
          <w:tcPr>
            <w:tcW w:w="4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 (4)</w:t>
            </w:r>
          </w:p>
        </w:tc>
        <w:tc>
          <w:tcPr>
            <w:tcW w:w="4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(37.0)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63.2</w:t>
            </w: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4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Derivatives (2)</w:t>
            </w:r>
          </w:p>
        </w:tc>
        <w:tc>
          <w:tcPr>
            <w:tcW w:w="4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(34.9)</w:t>
            </w: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(5)</w:t>
            </w:r>
          </w:p>
        </w:tc>
        <w:tc>
          <w:tcPr>
            <w:tcW w:w="4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(66.3)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72"/>
        </w:trPr>
        <w:tc>
          <w:tcPr>
            <w:tcW w:w="23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realized capital losses</w:t>
            </w:r>
          </w:p>
        </w:tc>
        <w:tc>
          <w:tcPr>
            <w:tcW w:w="42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(117.1)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(0.9)</w:t>
            </w:r>
          </w:p>
        </w:tc>
      </w:tr>
      <w:tr>
        <w:trPr>
          <w:trHeight w:val="20"/>
        </w:trPr>
        <w:tc>
          <w:tcPr>
            <w:tcW w:w="2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credit sales, adjustments to the credit loss valuation allowance, write-offs and recoveries on available-for-sale securities.</w:t>
      </w:r>
    </w:p>
    <w:p>
      <w:pPr>
        <w:spacing w:after="0" w:line="14"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fair value of fixed maturities, available-for-sale and the change in fair value of derivative hedging instruments in fair value hedging relationships are reported in net investment income with the earnings effect of fixed maturities, available-for-sale. Gains (losses) for fixed maturities, available-for-sale related to terminated cash flow hedges continue to be reflected in net realized capital gains (losses).</w:t>
      </w:r>
    </w:p>
    <w:p>
      <w:pPr>
        <w:spacing w:after="0" w:line="1" w:lineRule="exact"/>
        <w:rPr>
          <w:rFonts w:ascii="Times New Roman" w:cs="Times New Roman" w:eastAsia="Times New Roman" w:hAnsi="Times New Roman"/>
          <w:sz w:val="16"/>
          <w:szCs w:val="16"/>
          <w:color w:val="auto"/>
        </w:rPr>
      </w:pPr>
    </w:p>
    <w:p>
      <w:pPr>
        <w:ind w:left="282" w:right="60" w:hanging="282"/>
        <w:spacing w:after="0" w:line="234" w:lineRule="auto"/>
        <w:tabs>
          <w:tab w:leader="none" w:pos="28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(losses) on fixed maturities, trading still held at the reporting date were$(0.1) million and $1.7 million for the three months ended March 31, 2025 and 2024, respectively. This excludes $2.8 million and $0.6 million for the three months ended March 31, 2025 and 2024, respectively, that were reported in market risk benefit remeasurement (gain) loss and $(0.2) million and $(3.0) million for the three months ended March 31, 2025 and 2024, respectively, that were reported in net realized capital gains (losses) on funds withheld assets.</w:t>
      </w:r>
    </w:p>
    <w:p>
      <w:pPr>
        <w:spacing w:after="0" w:line="2" w:lineRule="exact"/>
        <w:rPr>
          <w:rFonts w:ascii="Times New Roman" w:cs="Times New Roman" w:eastAsia="Times New Roman" w:hAnsi="Times New Roman"/>
          <w:sz w:val="16"/>
          <w:szCs w:val="16"/>
          <w:color w:val="auto"/>
        </w:rPr>
      </w:pPr>
    </w:p>
    <w:p>
      <w:pPr>
        <w:ind w:left="282" w:right="300" w:hanging="282"/>
        <w:spacing w:after="0" w:line="234" w:lineRule="auto"/>
        <w:tabs>
          <w:tab w:leader="none" w:pos="28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(losses) on equity securities still held at the reporting date were $(36.4) million and $58.9 million for the three months ended March 31, 2025 and 2024, respectively. This excludes $9.2 million and $18.7 million for the three months ended March 31, 2025 and 2024, respectively, that were reported in net investment income and $0.0 million and $0.0 million for the three months ended March 31, 2025 and 2024, respectively, that were reported in net realized capital gains (losses) on funds withheld assets.</w:t>
      </w:r>
    </w:p>
    <w:p>
      <w:pPr>
        <w:spacing w:after="0" w:line="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held-for-sale write-down of an intangible asset in 2025. See Note 2, Other Intangible Assets, for further details.</w:t>
      </w:r>
    </w:p>
    <w:p>
      <w:pPr>
        <w:spacing w:after="0" w:line="170" w:lineRule="exact"/>
        <w:rPr>
          <w:sz w:val="20"/>
          <w:szCs w:val="20"/>
          <w:color w:val="auto"/>
        </w:rPr>
      </w:pPr>
    </w:p>
    <w:p>
      <w:pPr>
        <w:ind w:left="2" w:right="260" w:firstLine="576"/>
        <w:spacing w:after="0" w:line="259" w:lineRule="auto"/>
        <w:rPr>
          <w:sz w:val="20"/>
          <w:szCs w:val="20"/>
          <w:color w:val="auto"/>
        </w:rPr>
      </w:pPr>
      <w:r>
        <w:rPr>
          <w:rFonts w:ascii="Times New Roman" w:cs="Times New Roman" w:eastAsia="Times New Roman" w:hAnsi="Times New Roman"/>
          <w:sz w:val="16"/>
          <w:szCs w:val="16"/>
          <w:color w:val="auto"/>
        </w:rPr>
        <w:t>Proceeds from sales of investments (excluding call and maturity proceeds) in fixed maturities, available-for-sale were $764.8 million and $912.5 million for the three months ended March 31, 2025 and 2024, respectively.</w:t>
      </w:r>
    </w:p>
    <w:p>
      <w:pPr>
        <w:spacing w:after="0" w:line="347"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402"/>
          </w:cols>
          <w:pgMar w:left="1278" w:top="557" w:right="1220"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w:t>
      </w:r>
    </w:p>
    <w:p>
      <w:pPr>
        <w:spacing w:after="0" w:line="190"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6"/>
          <w:szCs w:val="16"/>
          <w:color w:val="auto"/>
        </w:rPr>
        <w:t>We have a process in place to identify fixed maturity securities that could potentially require an allowance for credit loss. This process involves monitoring market events that could impact issuers’ credit ratings, business climate, management changes, litigation and government actions and other similar factors. This process also involves monitoring late payments, pricing levels, downgrades by rating agencies, key financial ratios, financial statements, revenue forecasts and cash flow projections as indicators of credit issues.</w:t>
      </w:r>
    </w:p>
    <w:p>
      <w:pPr>
        <w:spacing w:after="0" w:line="167" w:lineRule="exact"/>
        <w:rPr>
          <w:sz w:val="20"/>
          <w:szCs w:val="20"/>
          <w:color w:val="auto"/>
        </w:rPr>
      </w:pPr>
    </w:p>
    <w:p>
      <w:pPr>
        <w:ind w:right="200" w:firstLine="576"/>
        <w:spacing w:after="0" w:line="241" w:lineRule="auto"/>
        <w:rPr>
          <w:sz w:val="20"/>
          <w:szCs w:val="20"/>
          <w:color w:val="auto"/>
        </w:rPr>
      </w:pPr>
      <w:r>
        <w:rPr>
          <w:rFonts w:ascii="Times New Roman" w:cs="Times New Roman" w:eastAsia="Times New Roman" w:hAnsi="Times New Roman"/>
          <w:sz w:val="16"/>
          <w:szCs w:val="16"/>
          <w:color w:val="auto"/>
        </w:rPr>
        <w:t>Each reporting period, all securities in an unrealized loss position are reviewed to determine whether a decline in value is due to credit. Relevant facts and circumstances considered include: (1) the extent the fair value is below cost; (2) the reasons for the decline in value; (3) the financial position and access to capital of the issuer, including the current and future impact of any specific events and (4) for structured securities, the adequacy of the expected cash flows. To the extent we determine an unrealized loss is due to credit, an allowance for credit loss is recognized through a reduction to net income.</w:t>
      </w:r>
    </w:p>
    <w:p>
      <w:pPr>
        <w:spacing w:after="0" w:line="169"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We estimate the amount of the allowance for credit loss as the difference between amortized cost and the present value of the expected cash flows of the security. The present value is determined using the best estimate cash flows discounted at the effective interest rate implicit to the security at the date of purchase or the current yield to accrete an asset-backed or floating rate security. The methodology and assumptions for establishing the best estimate cash flows vary depending on the type of security. The ABS cash flow estimates are based on security specific facts and circumstances that may include collateral characteristics, expectations of delinquency and default rates, loss severity and prepayment speeds and structural support, including subordination and guarantees. The corporate security cash flow estimates are derived from scenario -based outcomes of expected corporate restructurings or liquidations using bond specific facts and circumstances including timing, security interests and loss severity. We do not measure a credit loss allowance on accrued interest receivable because we write off the accrued interest receivable balance to net investment income in a timely manner when we have concern regarding collectability.</w:t>
      </w:r>
    </w:p>
    <w:p>
      <w:pPr>
        <w:spacing w:after="0" w:line="170"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Amounts on fixed maturities, available -for-sale deemed to be uncollectible are written off and removed from the allowance for credit loss. A write-off may also occur if we intend to sell a security or whether it is more likely than not we will be required to sell the security before the recovery of its amortized cost which, in some cases, may extend to maturity.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rollforward of the allowance for credit loss by major security type was as follows.</w:t>
      </w:r>
    </w:p>
    <w:p>
      <w:pPr>
        <w:sectPr>
          <w:pgSz w:w="11900" w:h="16840" w:orient="portrait"/>
          <w:cols w:equalWidth="0" w:num="1">
            <w:col w:w="9340"/>
          </w:cols>
          <w:pgMar w:left="1280" w:top="557"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3"/>
          <w:szCs w:val="13"/>
          <w:color w:val="auto"/>
        </w:rPr>
        <w:t>Beginning balance Additional increases</w:t>
      </w:r>
    </w:p>
    <w:p>
      <w:pPr>
        <w:spacing w:after="0" w:line="1" w:lineRule="exact"/>
        <w:rPr>
          <w:sz w:val="20"/>
          <w:szCs w:val="20"/>
          <w:color w:val="auto"/>
        </w:rPr>
      </w:pPr>
    </w:p>
    <w:p>
      <w:pPr>
        <w:ind w:left="100"/>
        <w:spacing w:after="0" w:line="250" w:lineRule="auto"/>
        <w:rPr>
          <w:sz w:val="20"/>
          <w:szCs w:val="20"/>
          <w:color w:val="auto"/>
        </w:rPr>
      </w:pPr>
      <w:r>
        <w:rPr>
          <w:rFonts w:ascii="Times New Roman" w:cs="Times New Roman" w:eastAsia="Times New Roman" w:hAnsi="Times New Roman"/>
          <w:sz w:val="13"/>
          <w:szCs w:val="13"/>
          <w:color w:val="auto"/>
        </w:rPr>
        <w:t>(decreases) for credit losses on securities with an allowance recorded in the previous period</w:t>
      </w:r>
    </w:p>
    <w:p>
      <w:pPr>
        <w:spacing w:after="0" w:line="1" w:lineRule="exact"/>
        <w:rPr>
          <w:sz w:val="20"/>
          <w:szCs w:val="20"/>
          <w:color w:val="auto"/>
        </w:rPr>
      </w:pPr>
    </w:p>
    <w:p>
      <w:pPr>
        <w:ind w:left="100" w:right="160" w:hanging="107"/>
        <w:spacing w:after="0" w:line="250" w:lineRule="auto"/>
        <w:rPr>
          <w:sz w:val="20"/>
          <w:szCs w:val="20"/>
          <w:color w:val="auto"/>
        </w:rPr>
      </w:pPr>
      <w:r>
        <w:rPr>
          <w:rFonts w:ascii="Times New Roman" w:cs="Times New Roman" w:eastAsia="Times New Roman" w:hAnsi="Times New Roman"/>
          <w:sz w:val="13"/>
          <w:szCs w:val="13"/>
          <w:color w:val="auto"/>
        </w:rPr>
        <w:t>Write-offs charged against allowance</w:t>
      </w:r>
    </w:p>
    <w:p>
      <w:pPr>
        <w:spacing w:after="0" w:line="1" w:lineRule="exact"/>
        <w:rPr>
          <w:sz w:val="20"/>
          <w:szCs w:val="20"/>
          <w:color w:val="auto"/>
        </w:rPr>
      </w:pPr>
    </w:p>
    <w:p>
      <w:pPr>
        <w:ind w:left="100" w:right="60" w:hanging="107"/>
        <w:spacing w:after="0" w:line="250" w:lineRule="auto"/>
        <w:rPr>
          <w:sz w:val="20"/>
          <w:szCs w:val="20"/>
          <w:color w:val="auto"/>
        </w:rPr>
      </w:pPr>
      <w:r>
        <w:rPr>
          <w:rFonts w:ascii="Times New Roman" w:cs="Times New Roman" w:eastAsia="Times New Roman" w:hAnsi="Times New Roman"/>
          <w:sz w:val="13"/>
          <w:szCs w:val="13"/>
          <w:color w:val="auto"/>
        </w:rPr>
        <w:t>Foreign 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Ending balance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Residential</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backed</w:t>
            </w:r>
          </w:p>
        </w:tc>
        <w:tc>
          <w:tcPr>
            <w:tcW w:w="1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Collateralized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7"/>
              </w:rPr>
              <w:t>States and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6"/>
              </w:rPr>
              <w:t>government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political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through</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backed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agencies</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governments</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subdivisions</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gridSpan w:val="3"/>
          </w:tcPr>
          <w:p>
            <w:pPr>
              <w:jc w:val="right"/>
              <w:ind w:right="94"/>
              <w:spacing w:after="0" w:line="123"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74"/>
        </w:trPr>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r>
      <w:tr>
        <w:trPr>
          <w:trHeight w:val="78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r>
      <w:tr>
        <w:trPr>
          <w:trHeight w:val="31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r>
      <w:tr>
        <w:trPr>
          <w:trHeight w:val="308"/>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r>
      <w:tr>
        <w:trPr>
          <w:trHeight w:val="148"/>
        </w:trPr>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0.2</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7.0</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-1119505</wp:posOffset>
            </wp:positionV>
            <wp:extent cx="5930265" cy="99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30265" cy="99060"/>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-525145</wp:posOffset>
            </wp:positionV>
            <wp:extent cx="5930265" cy="19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0265" cy="198120"/>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-128905</wp:posOffset>
            </wp:positionV>
            <wp:extent cx="593026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1560" w:space="140"/>
            <w:col w:w="7640"/>
          </w:cols>
          <w:pgMar w:left="1280" w:top="557" w:right="1280" w:bottom="1440" w:gutter="0" w:footer="0" w:header="0"/>
          <w:type w:val="continuous"/>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type w:val="continuous"/>
        </w:sectPr>
      </w:pPr>
    </w:p>
    <w:bookmarkStart w:id="19" w:name="page20"/>
    <w:bookmarkEnd w:id="19"/>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w:t>
      </w:r>
    </w:p>
    <w:p>
      <w:pPr>
        <w:spacing w:after="0" w:line="1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March 31, 2025</w:t>
      </w: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p>
      <w:pPr>
        <w:ind w:left="4302"/>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p>
      <w:pPr>
        <w:sectPr>
          <w:pgSz w:w="11900" w:h="16840" w:orient="portrait"/>
          <w:cols w:equalWidth="0" w:num="1">
            <w:col w:w="9342"/>
          </w:cols>
          <w:pgMar w:left="1278" w:top="557"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 w:right="100"/>
        <w:spacing w:after="0" w:line="261" w:lineRule="auto"/>
        <w:rPr>
          <w:sz w:val="20"/>
          <w:szCs w:val="20"/>
          <w:color w:val="auto"/>
        </w:rPr>
      </w:pPr>
      <w:r>
        <w:rPr>
          <w:rFonts w:ascii="Times New Roman" w:cs="Times New Roman" w:eastAsia="Times New Roman" w:hAnsi="Times New Roman"/>
          <w:sz w:val="13"/>
          <w:szCs w:val="13"/>
          <w:color w:val="auto"/>
        </w:rPr>
        <w:t>Beginning balance Write-offs charged against</w:t>
      </w:r>
    </w:p>
    <w:p>
      <w:pPr>
        <w:spacing w:after="0" w:line="1"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3"/>
          <w:szCs w:val="13"/>
          <w:color w:val="auto"/>
        </w:rPr>
        <w:t>allowance</w:t>
      </w:r>
    </w:p>
    <w:p>
      <w:pPr>
        <w:spacing w:after="0" w:line="7" w:lineRule="exact"/>
        <w:rPr>
          <w:sz w:val="20"/>
          <w:szCs w:val="20"/>
          <w:color w:val="auto"/>
        </w:rPr>
      </w:pPr>
    </w:p>
    <w:p>
      <w:pPr>
        <w:ind w:left="102" w:hanging="107"/>
        <w:spacing w:after="0" w:line="250" w:lineRule="auto"/>
        <w:rPr>
          <w:sz w:val="20"/>
          <w:szCs w:val="20"/>
          <w:color w:val="auto"/>
        </w:rPr>
      </w:pPr>
      <w:r>
        <w:rPr>
          <w:rFonts w:ascii="Times New Roman" w:cs="Times New Roman" w:eastAsia="Times New Roman" w:hAnsi="Times New Roman"/>
          <w:sz w:val="13"/>
          <w:szCs w:val="13"/>
          <w:color w:val="auto"/>
        </w:rPr>
        <w:t>Foreign currency translation adjustment</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14789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backed</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Collateralized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States 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pass-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government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political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backed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obligations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and agencies</w:t>
            </w: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governments</w:t>
            </w: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subdivisions</w:t>
            </w:r>
          </w:p>
        </w:tc>
        <w:tc>
          <w:tcPr>
            <w:tcW w:w="1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4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4"/>
        </w:trPr>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i w:val="1"/>
                <w:iCs w:val="1"/>
                <w:color w:val="auto"/>
                <w:w w:val="82"/>
              </w:rPr>
              <w:t>(in</w:t>
            </w:r>
          </w:p>
        </w:tc>
        <w:tc>
          <w:tcPr>
            <w:tcW w:w="72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r>
      <w:tr>
        <w:trPr>
          <w:trHeight w:val="172"/>
        </w:trPr>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8"/>
              </w:rPr>
              <w:t>4.6</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4.7</w:t>
            </w:r>
          </w:p>
        </w:tc>
      </w:tr>
      <w:tr>
        <w:trPr>
          <w:trHeight w:val="31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r>
      <w:tr>
        <w:trPr>
          <w:trHeight w:val="30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(0.3)</w:t>
            </w:r>
          </w:p>
        </w:tc>
      </w:tr>
      <w:tr>
        <w:trPr>
          <w:trHeight w:val="148"/>
        </w:trPr>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bottom w:val="single" w:sz="8" w:color="auto"/>
            </w:tcBorders>
          </w:tcPr>
          <w:p>
            <w:pPr>
              <w:ind w:left="5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center"/>
              <w:ind w:left="74"/>
              <w:spacing w:after="0" w:line="148" w:lineRule="exact"/>
              <w:rPr>
                <w:sz w:val="20"/>
                <w:szCs w:val="20"/>
                <w:color w:val="auto"/>
              </w:rPr>
            </w:pPr>
            <w:r>
              <w:rPr>
                <w:rFonts w:ascii="Times New Roman" w:cs="Times New Roman" w:eastAsia="Times New Roman" w:hAnsi="Times New Roman"/>
                <w:sz w:val="13"/>
                <w:szCs w:val="13"/>
                <w:color w:val="auto"/>
                <w:w w:val="98"/>
              </w:rPr>
              <w:t>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color w:val="auto"/>
                <w:w w:val="98"/>
              </w:rPr>
              <w:t>2.8</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-624205</wp:posOffset>
            </wp:positionV>
            <wp:extent cx="5930265" cy="99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0265" cy="99060"/>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-327025</wp:posOffset>
            </wp:positionV>
            <wp:extent cx="5930265" cy="19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30265" cy="198120"/>
                    </a:xfrm>
                    <a:prstGeom prst="rect">
                      <a:avLst/>
                    </a:prstGeom>
                    <a:noFill/>
                  </pic:spPr>
                </pic:pic>
              </a:graphicData>
            </a:graphic>
          </wp:anchor>
        </w:drawing>
      </w:r>
    </w:p>
    <w:p>
      <w:pPr>
        <w:spacing w:after="0" w:line="168" w:lineRule="exact"/>
        <w:rPr>
          <w:sz w:val="20"/>
          <w:szCs w:val="20"/>
          <w:color w:val="auto"/>
        </w:rPr>
      </w:pPr>
    </w:p>
    <w:p>
      <w:pPr>
        <w:sectPr>
          <w:pgSz w:w="11900" w:h="16840" w:orient="portrait"/>
          <w:cols w:equalWidth="0" w:num="2">
            <w:col w:w="1502" w:space="240"/>
            <w:col w:w="7600"/>
          </w:cols>
          <w:pgMar w:left="1278" w:top="557" w:right="1280" w:bottom="1440" w:gutter="0" w:footer="0" w:header="0"/>
          <w:type w:val="continuous"/>
        </w:sectPr>
      </w:pPr>
    </w:p>
    <w:p>
      <w:pPr>
        <w:ind w:left="282" w:hanging="282"/>
        <w:spacing w:after="0"/>
        <w:tabs>
          <w:tab w:leader="none" w:pos="28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Primarily consists of collateralized loan obligations backed by secured corporate loans.</w:t>
      </w:r>
    </w:p>
    <w:p>
      <w:pPr>
        <w:spacing w:after="0" w:line="18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During 2025 and 2024, we did not write off any accrued interest to net investment income.</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Available-For-Sale Securities in Unrealized Loss Positions Without an Allowance for Credit Loss</w:t>
      </w:r>
    </w:p>
    <w:p>
      <w:pPr>
        <w:spacing w:after="0" w:line="190" w:lineRule="exact"/>
        <w:rPr>
          <w:sz w:val="20"/>
          <w:szCs w:val="20"/>
          <w:color w:val="auto"/>
        </w:rPr>
      </w:pPr>
    </w:p>
    <w:p>
      <w:pPr>
        <w:ind w:left="2" w:right="260" w:firstLine="576"/>
        <w:spacing w:after="0" w:line="247" w:lineRule="auto"/>
        <w:rPr>
          <w:sz w:val="20"/>
          <w:szCs w:val="20"/>
          <w:color w:val="auto"/>
        </w:rPr>
      </w:pPr>
      <w:r>
        <w:rPr>
          <w:rFonts w:ascii="Times New Roman" w:cs="Times New Roman" w:eastAsia="Times New Roman" w:hAnsi="Times New Roman"/>
          <w:sz w:val="16"/>
          <w:szCs w:val="16"/>
          <w:color w:val="auto"/>
        </w:rPr>
        <w:t>For available-for-sale securities with unrealized losses for which an allowance for credit loss has not been recorded, the gross unrealized losses and fair value, aggregated by investment category and length of time that individual securities have been in a continuous unrealized loss position were as follows: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4"/>
          </w:tcPr>
          <w:p>
            <w:pPr>
              <w:jc w:val="right"/>
              <w:ind w:right="605"/>
              <w:spacing w:after="0" w:line="13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ind w:right="425"/>
              <w:spacing w:after="0" w:line="134" w:lineRule="exact"/>
              <w:rPr>
                <w:sz w:val="20"/>
                <w:szCs w:val="20"/>
                <w:color w:val="auto"/>
              </w:rPr>
            </w:pPr>
            <w:r>
              <w:rPr>
                <w:rFonts w:ascii="Times New Roman" w:cs="Times New Roman" w:eastAsia="Times New Roman" w:hAnsi="Times New Roman"/>
                <w:sz w:val="13"/>
                <w:szCs w:val="13"/>
                <w:b w:val="1"/>
                <w:bCs w:val="1"/>
                <w:color w:val="auto"/>
              </w:rPr>
              <w:t>Greater than or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twelve months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equal to twelve months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040" w:type="dxa"/>
            <w:vAlign w:val="bottom"/>
            <w:gridSpan w:val="3"/>
          </w:tcPr>
          <w:p>
            <w:pPr>
              <w:jc w:val="center"/>
              <w:ind w:right="525"/>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168.7</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w:t>
            </w:r>
          </w:p>
        </w:tc>
        <w:tc>
          <w:tcPr>
            <w:tcW w:w="340" w:type="dxa"/>
            <w:vAlign w:val="bottom"/>
            <w:gridSpan w:val="2"/>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688.0</w:t>
            </w:r>
          </w:p>
        </w:tc>
        <w:tc>
          <w:tcPr>
            <w:tcW w:w="280" w:type="dxa"/>
            <w:vAlign w:val="bottom"/>
            <w:gridSpan w:val="2"/>
          </w:tcPr>
          <w:p>
            <w:pPr>
              <w:jc w:val="center"/>
              <w:ind w:left="88"/>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244.3</w:t>
            </w:r>
          </w:p>
        </w:tc>
        <w:tc>
          <w:tcPr>
            <w:tcW w:w="3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856.7</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246.7</w:t>
            </w:r>
          </w:p>
        </w:tc>
        <w:tc>
          <w:tcPr>
            <w:tcW w:w="0" w:type="dxa"/>
            <w:vAlign w:val="bottom"/>
          </w:tcPr>
          <w:p>
            <w:pPr>
              <w:spacing w:after="0"/>
              <w:rPr>
                <w:sz w:val="1"/>
                <w:szCs w:val="1"/>
                <w:color w:val="auto"/>
              </w:rPr>
            </w:pP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337.1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78.0</w:t>
            </w:r>
          </w:p>
        </w:tc>
        <w:tc>
          <w:tcPr>
            <w:tcW w:w="0" w:type="dxa"/>
            <w:vAlign w:val="bottom"/>
          </w:tcPr>
          <w:p>
            <w:pPr>
              <w:spacing w:after="0"/>
              <w:rPr>
                <w:sz w:val="1"/>
                <w:szCs w:val="1"/>
                <w:color w:val="auto"/>
              </w:rPr>
            </w:pP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4,806.3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5,587.3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1,063.1</w:t>
            </w:r>
          </w:p>
        </w:tc>
        <w:tc>
          <w:tcPr>
            <w:tcW w:w="0" w:type="dxa"/>
            <w:vAlign w:val="bottom"/>
          </w:tcPr>
          <w:p>
            <w:pPr>
              <w:spacing w:after="0"/>
              <w:rPr>
                <w:sz w:val="1"/>
                <w:szCs w:val="1"/>
                <w:color w:val="auto"/>
              </w:rPr>
            </w:pP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4,605.7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19,885.0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3,298.3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24,490.7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3,465.5</w:t>
            </w:r>
          </w:p>
        </w:tc>
        <w:tc>
          <w:tcPr>
            <w:tcW w:w="0" w:type="dxa"/>
            <w:vAlign w:val="bottom"/>
          </w:tcPr>
          <w:p>
            <w:pPr>
              <w:spacing w:after="0"/>
              <w:rPr>
                <w:sz w:val="1"/>
                <w:szCs w:val="1"/>
                <w:color w:val="auto"/>
              </w:rPr>
            </w:pPr>
          </w:p>
        </w:tc>
      </w:tr>
      <w:tr>
        <w:trPr>
          <w:trHeight w:val="167"/>
        </w:trPr>
        <w:tc>
          <w:tcPr>
            <w:tcW w:w="328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971.4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1,214.4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156.2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2,185.8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165.4</w:t>
            </w:r>
          </w:p>
        </w:tc>
        <w:tc>
          <w:tcPr>
            <w:tcW w:w="0" w:type="dxa"/>
            <w:vAlign w:val="bottom"/>
          </w:tcPr>
          <w:p>
            <w:pPr>
              <w:spacing w:after="0"/>
              <w:rPr>
                <w:sz w:val="1"/>
                <w:szCs w:val="1"/>
                <w:color w:val="auto"/>
              </w:rPr>
            </w:pPr>
          </w:p>
        </w:tc>
      </w:tr>
      <w:tr>
        <w:trPr>
          <w:trHeight w:val="193"/>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516.8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3,804.2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392.8</w:t>
            </w:r>
          </w:p>
        </w:tc>
        <w:tc>
          <w:tcPr>
            <w:tcW w:w="0" w:type="dxa"/>
            <w:vAlign w:val="bottom"/>
          </w:tcPr>
          <w:p>
            <w:pPr>
              <w:spacing w:after="0"/>
              <w:rPr>
                <w:sz w:val="1"/>
                <w:szCs w:val="1"/>
                <w:color w:val="auto"/>
              </w:rPr>
            </w:pP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1,325.6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1,338.2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0" w:type="dxa"/>
            <w:vAlign w:val="bottom"/>
          </w:tcPr>
          <w:p>
            <w:pPr>
              <w:spacing w:after="0"/>
              <w:rPr>
                <w:sz w:val="1"/>
                <w:szCs w:val="1"/>
                <w:color w:val="auto"/>
              </w:rPr>
            </w:pP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1,110.4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3,650.8</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474.9</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4,761.2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483.8</w:t>
            </w:r>
          </w:p>
        </w:tc>
        <w:tc>
          <w:tcPr>
            <w:tcW w:w="0" w:type="dxa"/>
            <w:vAlign w:val="bottom"/>
          </w:tcPr>
          <w:p>
            <w:pPr>
              <w:spacing w:after="0"/>
              <w:rPr>
                <w:sz w:val="1"/>
                <w:szCs w:val="1"/>
                <w:color w:val="auto"/>
              </w:rPr>
            </w:pPr>
          </w:p>
        </w:tc>
      </w:tr>
      <w:tr>
        <w:trPr>
          <w:trHeight w:val="172"/>
        </w:trPr>
        <w:tc>
          <w:tcPr>
            <w:tcW w:w="3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9,511.7</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217.3</w:t>
            </w: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34,366.3</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5,686.2</w:t>
            </w: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43,878.0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5,903.5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280" w:hanging="282"/>
        <w:spacing w:after="0" w:line="246" w:lineRule="auto"/>
        <w:tabs>
          <w:tab w:leader="none" w:pos="28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and gross unrealized losses are excluded for available-for-sale securities for which an allowance for credit loss has been recorded. Gross unrealized losses exclude unallocated basis adjustments related to fair value hedges utilizing the portfolio layer method.</w:t>
      </w:r>
    </w:p>
    <w:p>
      <w:pPr>
        <w:ind w:left="282" w:hanging="282"/>
        <w:spacing w:after="0"/>
        <w:tabs>
          <w:tab w:leader="none" w:pos="28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spacing w:after="0" w:line="170" w:lineRule="exact"/>
        <w:rPr>
          <w:sz w:val="20"/>
          <w:szCs w:val="20"/>
          <w:color w:val="auto"/>
        </w:rPr>
      </w:pPr>
    </w:p>
    <w:p>
      <w:pPr>
        <w:ind w:left="2" w:right="120" w:firstLine="576"/>
        <w:spacing w:after="0" w:line="241" w:lineRule="auto"/>
        <w:rPr>
          <w:sz w:val="20"/>
          <w:szCs w:val="20"/>
          <w:color w:val="auto"/>
        </w:rPr>
      </w:pPr>
      <w:r>
        <w:rPr>
          <w:rFonts w:ascii="Times New Roman" w:cs="Times New Roman" w:eastAsia="Times New Roman" w:hAnsi="Times New Roman"/>
          <w:sz w:val="16"/>
          <w:szCs w:val="16"/>
          <w:color w:val="auto"/>
        </w:rPr>
        <w:t>Of the total amounts, Principal Life Insurance Company’s (“Principal Life’s”) consolidated portfolio represented $42,666.1 million in available-for -sale fixed maturities with gross unrealized losses of $5,796.7 million. Of the available-for-sale fixed maturities within Principal Life’s consolidated portfolio in a gross unrealized loss position, 96% were investment grade (rated AAA through BBB-) with an average price of 88 (carrying value/amortized cost) as of March 31, 2025. Gross unrealized losses in our fixed maturities portfolio decreased during the three months ended March 31, 2025, primarily due to a decrease in interest rates, which was partially offset by a widening of credit spreads.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type w:val="continuous"/>
        </w:sectPr>
      </w:pPr>
    </w:p>
    <w:bookmarkStart w:id="20" w:name="page21"/>
    <w:bookmarkEnd w:id="2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 w:right="80" w:firstLine="576"/>
        <w:spacing w:after="0" w:line="241" w:lineRule="auto"/>
        <w:rPr>
          <w:sz w:val="20"/>
          <w:szCs w:val="20"/>
          <w:color w:val="auto"/>
        </w:rPr>
      </w:pPr>
      <w:r>
        <w:rPr>
          <w:rFonts w:ascii="Times New Roman" w:cs="Times New Roman" w:eastAsia="Times New Roman" w:hAnsi="Times New Roman"/>
          <w:sz w:val="16"/>
          <w:szCs w:val="16"/>
          <w:color w:val="auto"/>
        </w:rPr>
        <w:t>For those securities that had been in a continuous unrealized loss position for less than twelve months, Principal Life’s consolidated portfolio held 1,433 securities with a carrying value of $8,933.2 million and unrealized losses of $ 187.4 million reflecting an average price of 98 as of March 31, 2025. Of this portfolio, 95% was investment grade (rated AAA through BBB-) as of March 31, 2025, with associated unrealized losses of $182.5 million. The unrealized losses on these securities can primarily be attributed to changes in market interest rates and changes in credit spreads since the securities were acquired.</w:t>
      </w:r>
    </w:p>
    <w:p>
      <w:pPr>
        <w:spacing w:after="0" w:line="169" w:lineRule="exact"/>
        <w:rPr>
          <w:sz w:val="20"/>
          <w:szCs w:val="20"/>
          <w:color w:val="auto"/>
        </w:rPr>
      </w:pPr>
    </w:p>
    <w:p>
      <w:pPr>
        <w:ind w:left="2" w:right="40" w:firstLine="576"/>
        <w:spacing w:after="0" w:line="277" w:lineRule="auto"/>
        <w:rPr>
          <w:sz w:val="20"/>
          <w:szCs w:val="20"/>
          <w:color w:val="auto"/>
        </w:rPr>
      </w:pPr>
      <w:r>
        <w:rPr>
          <w:rFonts w:ascii="Times New Roman" w:cs="Times New Roman" w:eastAsia="Times New Roman" w:hAnsi="Times New Roman"/>
          <w:sz w:val="14"/>
          <w:szCs w:val="14"/>
          <w:color w:val="auto"/>
        </w:rPr>
        <w:t>For those securities that had been in a continuous unrealized loss position greater than or equal to twelve months, Principal Life’s consolidated portfolio held 6,099 securities with a carrying value of $33,732.9 million and unrealized losses of $5,609.3 million as of March 31, 2025. The average credit rating of this portfolio was A with an average price of 86 as of March 31, 2025. Of the $5,609.3 million in unrealized losses, the corporate sector accounts for $3,236.9 million in unrealized losses with an average price of 86 and an average credit rating of BBB+. Furthermore, unrealized losses include $1,036.0 million within the states and political subdivisions sector with an average price of 82 and an average credit rating of AA- ; $422.6 million within the collateralized mortgage obligation security sector with an average price of 85 and an average credit rating of AAA; and $387.3 million within the CMBS sector with an average price of 91 and an average credit rating of AA. The unrealized losses on these securities can primarily be attributed to changes in market interest rates and changes in credit spreads since the securities were acquired.</w:t>
      </w:r>
    </w:p>
    <w:p>
      <w:pPr>
        <w:spacing w:after="0" w:line="146" w:lineRule="exact"/>
        <w:rPr>
          <w:sz w:val="20"/>
          <w:szCs w:val="20"/>
          <w:color w:val="auto"/>
        </w:rPr>
      </w:pPr>
    </w:p>
    <w:p>
      <w:pPr>
        <w:ind w:left="2" w:right="40" w:firstLine="576"/>
        <w:spacing w:after="0" w:line="243" w:lineRule="auto"/>
        <w:rPr>
          <w:sz w:val="20"/>
          <w:szCs w:val="20"/>
          <w:color w:val="auto"/>
        </w:rPr>
      </w:pPr>
      <w:r>
        <w:rPr>
          <w:rFonts w:ascii="Times New Roman" w:cs="Times New Roman" w:eastAsia="Times New Roman" w:hAnsi="Times New Roman"/>
          <w:sz w:val="16"/>
          <w:szCs w:val="16"/>
          <w:color w:val="auto"/>
        </w:rPr>
        <w:t>Because we expected to recover our amortized cost, we did not record an allowance for credit loss on these securities as of March 31, 2025. Because it was not our intent to sell the fixed maturity available -for-sale securities with unrealized losses and it was not more likely than not that we would be required to sell these securities before recovery of the amortized cost, which may be at maturity, we did not write down these investments to fair value.</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4"/>
          </w:tcPr>
          <w:p>
            <w:pPr>
              <w:jc w:val="right"/>
              <w:ind w:right="605"/>
              <w:spacing w:after="0" w:line="13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ind w:right="425"/>
              <w:spacing w:after="0" w:line="134" w:lineRule="exact"/>
              <w:rPr>
                <w:sz w:val="20"/>
                <w:szCs w:val="20"/>
                <w:color w:val="auto"/>
              </w:rPr>
            </w:pPr>
            <w:r>
              <w:rPr>
                <w:rFonts w:ascii="Times New Roman" w:cs="Times New Roman" w:eastAsia="Times New Roman" w:hAnsi="Times New Roman"/>
                <w:sz w:val="13"/>
                <w:szCs w:val="13"/>
                <w:b w:val="1"/>
                <w:bCs w:val="1"/>
                <w:color w:val="auto"/>
              </w:rPr>
              <w:t>Greater than or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twelve months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equal to twelve months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r>
      <w:tr>
        <w:trPr>
          <w:trHeight w:val="156"/>
        </w:trPr>
        <w:tc>
          <w:tcPr>
            <w:tcW w:w="2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36"/>
        </w:trPr>
        <w:tc>
          <w:tcPr>
            <w:tcW w:w="2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040" w:type="dxa"/>
            <w:vAlign w:val="bottom"/>
            <w:gridSpan w:val="3"/>
          </w:tcPr>
          <w:p>
            <w:pPr>
              <w:jc w:val="center"/>
              <w:ind w:right="525"/>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0"/>
        </w:trPr>
        <w:tc>
          <w:tcPr>
            <w:tcW w:w="3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909.1</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340" w:type="dxa"/>
            <w:vAlign w:val="bottom"/>
            <w:gridSpan w:val="2"/>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810.6</w:t>
            </w:r>
          </w:p>
        </w:tc>
        <w:tc>
          <w:tcPr>
            <w:tcW w:w="280" w:type="dxa"/>
            <w:vAlign w:val="bottom"/>
            <w:gridSpan w:val="2"/>
          </w:tcPr>
          <w:p>
            <w:pPr>
              <w:jc w:val="center"/>
              <w:ind w:left="8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283.1</w:t>
            </w:r>
          </w:p>
        </w:tc>
        <w:tc>
          <w:tcPr>
            <w:tcW w:w="3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1,719.7</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300.5</w:t>
            </w: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308.8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341.7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743.2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4,745.7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5,488.9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1,141.8</w:t>
            </w: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4,970.7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20,099.1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3,532.3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25,069.8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3,696.5</w:t>
            </w:r>
          </w:p>
        </w:tc>
      </w:tr>
      <w:tr>
        <w:trPr>
          <w:trHeight w:val="167"/>
        </w:trPr>
        <w:tc>
          <w:tcPr>
            <w:tcW w:w="328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3"/>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691.7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3,860.1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442.6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4,551.8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450.8</w:t>
            </w:r>
          </w:p>
        </w:tc>
      </w:tr>
      <w:tr>
        <w:trPr>
          <w:trHeight w:val="180"/>
        </w:trPr>
        <w:tc>
          <w:tcPr>
            <w:tcW w:w="3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3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1,732.5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3,698.5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557.2</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5,431.0</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579.0</w:t>
            </w:r>
          </w:p>
        </w:tc>
      </w:tr>
      <w:tr>
        <w:trPr>
          <w:trHeight w:val="172"/>
        </w:trPr>
        <w:tc>
          <w:tcPr>
            <w:tcW w:w="3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11,600.7</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273.4</w:t>
            </w: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34,766.6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6,201.</w:t>
            </w:r>
            <w:r>
              <w:rPr>
                <w:rFonts w:ascii="Times New Roman" w:cs="Times New Roman" w:eastAsia="Times New Roman" w:hAnsi="Times New Roman"/>
                <w:sz w:val="16"/>
                <w:szCs w:val="16"/>
                <w:u w:val="single" w:color="auto"/>
                <w:color w:val="auto"/>
              </w:rPr>
              <w:t>8</w:t>
            </w: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46,367.3</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6,475.</w:t>
            </w:r>
            <w:r>
              <w:rPr>
                <w:rFonts w:ascii="Times New Roman" w:cs="Times New Roman" w:eastAsia="Times New Roman" w:hAnsi="Times New Roman"/>
                <w:sz w:val="16"/>
                <w:szCs w:val="16"/>
                <w:u w:val="single" w:color="auto"/>
                <w:color w:val="auto"/>
              </w:rPr>
              <w:t>2</w:t>
            </w:r>
          </w:p>
        </w:tc>
      </w:tr>
      <w:tr>
        <w:trPr>
          <w:trHeight w:val="20"/>
        </w:trPr>
        <w:tc>
          <w:tcPr>
            <w:tcW w:w="2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59" w:lineRule="exact"/>
        <w:rPr>
          <w:sz w:val="20"/>
          <w:szCs w:val="20"/>
          <w:color w:val="auto"/>
        </w:rPr>
      </w:pPr>
    </w:p>
    <w:p>
      <w:pPr>
        <w:ind w:left="282" w:right="280" w:hanging="282"/>
        <w:spacing w:after="0" w:line="246" w:lineRule="auto"/>
        <w:tabs>
          <w:tab w:leader="none" w:pos="28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and gross unrealized losses are excluded for available-for-sale securities for which an allowance for credit loss has been recorded. Gross unrealized losses exclude unallocated basis adjustments related to fair value hedges utilizing the portfolio layer method.</w:t>
      </w:r>
    </w:p>
    <w:p>
      <w:pPr>
        <w:ind w:left="282" w:hanging="282"/>
        <w:spacing w:after="0"/>
        <w:tabs>
          <w:tab w:leader="none" w:pos="28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spacing w:after="0" w:line="170" w:lineRule="exact"/>
        <w:rPr>
          <w:sz w:val="20"/>
          <w:szCs w:val="20"/>
          <w:color w:val="auto"/>
        </w:rPr>
      </w:pPr>
    </w:p>
    <w:p>
      <w:pPr>
        <w:ind w:left="2" w:right="120" w:firstLine="576"/>
        <w:spacing w:after="0" w:line="241" w:lineRule="auto"/>
        <w:rPr>
          <w:sz w:val="20"/>
          <w:szCs w:val="20"/>
          <w:color w:val="auto"/>
        </w:rPr>
      </w:pPr>
      <w:r>
        <w:rPr>
          <w:rFonts w:ascii="Times New Roman" w:cs="Times New Roman" w:eastAsia="Times New Roman" w:hAnsi="Times New Roman"/>
          <w:sz w:val="16"/>
          <w:szCs w:val="16"/>
          <w:color w:val="auto"/>
        </w:rPr>
        <w:t>Of the total amounts, Principal Life’s consolidated portfolio represented $44,950.7 million in available-for -sale fixed maturities with gross unrealized losses of $6,373.8 million. Of the available -for-sale fixed maturities within Principal Life’s consolidated portfolio in a gross unrealized loss position, 97% were investment grade (rated AAA through BBB-) with an average price of 88 (carrying value/amortized cost) as of December 31, 2024. Gross unrealized losses in our fixed maturities portfolio increased during the year ended December 31, 2024, primarily due to an increase in interest rates, which was partially offset by a tightening of credit spreads.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For those securities that had been in a continuous unrealized loss position for less than twelve months, Principal Life’s consolidated portfolio held 1,747 securities with a carrying value of $10,805.4 million and unrealized losses of $ 252.3 million reflecting an average price of 98 as of December 31, 2024. Of this portfolio, 96% was investment grade (rated AAA through BBB-) as of December 31, 2024, with associated unrealized losses of $245.4 million. The unrealized losses on these securities can primarily be attributed to changes in market interest rates and changes in credit spreads since the securities were acquired.</w:t>
      </w:r>
    </w:p>
    <w:p>
      <w:pPr>
        <w:spacing w:after="0" w:line="169" w:lineRule="exact"/>
        <w:rPr>
          <w:sz w:val="20"/>
          <w:szCs w:val="20"/>
          <w:color w:val="auto"/>
        </w:rPr>
      </w:pPr>
    </w:p>
    <w:p>
      <w:pPr>
        <w:ind w:right="40" w:firstLine="576"/>
        <w:spacing w:after="0" w:line="277" w:lineRule="auto"/>
        <w:rPr>
          <w:sz w:val="20"/>
          <w:szCs w:val="20"/>
          <w:color w:val="auto"/>
        </w:rPr>
      </w:pPr>
      <w:r>
        <w:rPr>
          <w:rFonts w:ascii="Times New Roman" w:cs="Times New Roman" w:eastAsia="Times New Roman" w:hAnsi="Times New Roman"/>
          <w:sz w:val="14"/>
          <w:szCs w:val="14"/>
          <w:color w:val="auto"/>
        </w:rPr>
        <w:t>For those securities that had been in a continuous unrealized loss position greater than or equal to twelve months, Principal Life’s consolidated portfolio held 6,219 securities with a carrying value of $34,145.3 million and unrealized losses of $6,121.5 million as of December 31, 2024. The average credit rating of this portfolio was A with an average price of 85 as of December 31, 2024. Of the $6,121.5 million in unrealized losses, the corporate sector accounts for $3,470.0 million in unrealized losses with an average price of 85 and an average credit rating of BBB+. Furthermore, unrealized losses include $1,108.0 million within the states and political subdivisions sector with an average price of 81 and an average credit rating of AA- ; $490.8 million within the collateralized mortgage obligation security sector with an average price of 83 and an average credit rating of AAA; and $441.5 million within the CMBS sector with an average price of 90 and an average credit rating of AA. The unrealized losses on these securities can primarily be attributed to changes in market interest rates and changes in credit spreads since the securities were acquired.</w:t>
      </w:r>
    </w:p>
    <w:p>
      <w:pPr>
        <w:spacing w:after="0" w:line="146" w:lineRule="exact"/>
        <w:rPr>
          <w:sz w:val="20"/>
          <w:szCs w:val="20"/>
          <w:color w:val="auto"/>
        </w:rPr>
      </w:pPr>
    </w:p>
    <w:p>
      <w:pPr>
        <w:ind w:right="200" w:firstLine="576"/>
        <w:spacing w:after="0" w:line="243" w:lineRule="auto"/>
        <w:rPr>
          <w:sz w:val="20"/>
          <w:szCs w:val="20"/>
          <w:color w:val="auto"/>
        </w:rPr>
      </w:pPr>
      <w:r>
        <w:rPr>
          <w:rFonts w:ascii="Times New Roman" w:cs="Times New Roman" w:eastAsia="Times New Roman" w:hAnsi="Times New Roman"/>
          <w:sz w:val="16"/>
          <w:szCs w:val="16"/>
          <w:color w:val="auto"/>
        </w:rPr>
        <w:t>Because we expected to recover our amortized cost, we did not record an allowance for credit loss on these securities as of December 31, 2024. Because it was not our intent to sell the fixed maturity available-for-sale securities with unrealized losses and it was not more likely than not that we would be required to sell these securities before recovery of the amortized cost, which may be at maturity, we did not write down these investments to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Unrealized Gains and Losses on Available-For-Sale Securities and Derivative Instruments</w:t>
      </w:r>
    </w:p>
    <w:p>
      <w:pPr>
        <w:spacing w:after="0" w:line="190"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The net unrealized gains and losses on investments in available-for-sale securities and the net unrealized gains and losses on derivative instruments in cash flow hedge relationships are reported as separate components of stockholders’ equity. The cumulative amount of net unrealized gains and losses on available-for- sale securities and derivative instruments in cash flow hedge relationships net of adjustments related to actuarial balances, policyholder liabilities, noncontrolling interest and applicable income taxes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Pr>
          <w:p>
            <w:pPr>
              <w:spacing w:after="0"/>
              <w:rPr>
                <w:sz w:val="14"/>
                <w:szCs w:val="14"/>
                <w:color w:val="auto"/>
              </w:rPr>
            </w:pPr>
          </w:p>
        </w:tc>
      </w:tr>
      <w:tr>
        <w:trPr>
          <w:trHeight w:val="136"/>
        </w:trPr>
        <w:tc>
          <w:tcPr>
            <w:tcW w:w="23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560" w:type="dxa"/>
            <w:vAlign w:val="bottom"/>
            <w:gridSpan w:val="4"/>
          </w:tcPr>
          <w:p>
            <w:pPr>
              <w:jc w:val="right"/>
              <w:ind w:right="1043"/>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20" w:type="dxa"/>
            <w:vAlign w:val="bottom"/>
          </w:tcPr>
          <w:p>
            <w:pPr>
              <w:spacing w:after="0"/>
              <w:rPr>
                <w:sz w:val="11"/>
                <w:szCs w:val="11"/>
                <w:color w:val="auto"/>
              </w:rPr>
            </w:pPr>
          </w:p>
        </w:tc>
      </w:tr>
      <w:tr>
        <w:trPr>
          <w:trHeight w:val="180"/>
        </w:trPr>
        <w:tc>
          <w:tcPr>
            <w:tcW w:w="6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losses on fixed maturities, available-for-sale (1)</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(5,210.8)</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(5,942.5)</w:t>
            </w:r>
          </w:p>
        </w:tc>
        <w:tc>
          <w:tcPr>
            <w:tcW w:w="20" w:type="dxa"/>
            <w:vAlign w:val="bottom"/>
          </w:tcPr>
          <w:p>
            <w:pPr>
              <w:spacing w:after="0"/>
              <w:rPr>
                <w:sz w:val="15"/>
                <w:szCs w:val="15"/>
                <w:color w:val="auto"/>
              </w:rPr>
            </w:pPr>
          </w:p>
        </w:tc>
      </w:tr>
      <w:tr>
        <w:trPr>
          <w:trHeight w:val="180"/>
        </w:trPr>
        <w:tc>
          <w:tcPr>
            <w:tcW w:w="6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on derivative instruments</w:t>
            </w:r>
          </w:p>
        </w:tc>
        <w:tc>
          <w:tcPr>
            <w:tcW w:w="1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66.1</w:t>
            </w:r>
          </w:p>
        </w:tc>
        <w:tc>
          <w:tcPr>
            <w:tcW w:w="20" w:type="dxa"/>
            <w:vAlign w:val="bottom"/>
          </w:tcPr>
          <w:p>
            <w:pPr>
              <w:spacing w:after="0"/>
              <w:rPr>
                <w:sz w:val="15"/>
                <w:szCs w:val="15"/>
                <w:color w:val="auto"/>
              </w:rPr>
            </w:pPr>
          </w:p>
        </w:tc>
      </w:tr>
      <w:tr>
        <w:trPr>
          <w:trHeight w:val="180"/>
        </w:trPr>
        <w:tc>
          <w:tcPr>
            <w:tcW w:w="6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amortization patterns</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5"/>
                <w:szCs w:val="15"/>
                <w:color w:val="auto"/>
              </w:rPr>
            </w:pPr>
          </w:p>
        </w:tc>
      </w:tr>
      <w:tr>
        <w:trPr>
          <w:trHeight w:val="180"/>
        </w:trPr>
        <w:tc>
          <w:tcPr>
            <w:tcW w:w="6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policyholder liabilities</w:t>
            </w:r>
          </w:p>
        </w:tc>
        <w:tc>
          <w:tcPr>
            <w:tcW w:w="16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15"/>
                <w:szCs w:val="15"/>
                <w:color w:val="auto"/>
              </w:rPr>
            </w:pPr>
          </w:p>
        </w:tc>
      </w:tr>
      <w:tr>
        <w:trPr>
          <w:trHeight w:val="180"/>
        </w:trPr>
        <w:tc>
          <w:tcPr>
            <w:tcW w:w="6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losses on other investments and noncontrolling interest adjustments</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(52.5)</w:t>
            </w:r>
          </w:p>
        </w:tc>
        <w:tc>
          <w:tcPr>
            <w:tcW w:w="20" w:type="dxa"/>
            <w:vAlign w:val="bottom"/>
          </w:tcPr>
          <w:p>
            <w:pPr>
              <w:spacing w:after="0"/>
              <w:rPr>
                <w:sz w:val="15"/>
                <w:szCs w:val="15"/>
                <w:color w:val="auto"/>
              </w:rPr>
            </w:pPr>
          </w:p>
        </w:tc>
      </w:tr>
      <w:tr>
        <w:trPr>
          <w:trHeight w:val="180"/>
        </w:trPr>
        <w:tc>
          <w:tcPr>
            <w:tcW w:w="64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Provision for deferred income tax benefits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1,108.9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1,270.5</w:t>
            </w:r>
          </w:p>
        </w:tc>
        <w:tc>
          <w:tcPr>
            <w:tcW w:w="20" w:type="dxa"/>
            <w:vAlign w:val="bottom"/>
          </w:tcPr>
          <w:p>
            <w:pPr>
              <w:spacing w:after="0"/>
              <w:rPr>
                <w:sz w:val="15"/>
                <w:szCs w:val="15"/>
                <w:color w:val="auto"/>
              </w:rPr>
            </w:pPr>
          </w:p>
        </w:tc>
      </w:tr>
      <w:tr>
        <w:trPr>
          <w:trHeight w:val="172"/>
        </w:trPr>
        <w:tc>
          <w:tcPr>
            <w:tcW w:w="64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unrealized losses on available-for-sale securities and derivative instruments</w:t>
            </w: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(4,037.6)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(4,641.1)</w:t>
            </w:r>
          </w:p>
        </w:tc>
        <w:tc>
          <w:tcPr>
            <w:tcW w:w="20" w:type="dxa"/>
            <w:vAlign w:val="bottom"/>
          </w:tcPr>
          <w:p>
            <w:pPr>
              <w:spacing w:after="0"/>
              <w:rPr>
                <w:sz w:val="14"/>
                <w:szCs w:val="14"/>
                <w:color w:val="auto"/>
              </w:rPr>
            </w:pPr>
          </w:p>
        </w:tc>
      </w:tr>
      <w:tr>
        <w:trPr>
          <w:trHeight w:val="20"/>
        </w:trPr>
        <w:tc>
          <w:tcPr>
            <w:tcW w:w="2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net unrealized gains (losses) on fixed maturities, available-for-sale included in fair value hedging relationships.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Receivables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Mortgage Loans</w:t>
      </w:r>
    </w:p>
    <w:p>
      <w:pPr>
        <w:spacing w:after="0" w:line="192" w:lineRule="exact"/>
        <w:rPr>
          <w:sz w:val="20"/>
          <w:szCs w:val="20"/>
          <w:color w:val="auto"/>
        </w:rPr>
      </w:pPr>
    </w:p>
    <w:p>
      <w:pPr>
        <w:jc w:val="both"/>
        <w:ind w:right="120" w:firstLine="576"/>
        <w:spacing w:after="0" w:line="247" w:lineRule="auto"/>
        <w:rPr>
          <w:sz w:val="20"/>
          <w:szCs w:val="20"/>
          <w:color w:val="auto"/>
        </w:rPr>
      </w:pPr>
      <w:r>
        <w:rPr>
          <w:rFonts w:ascii="Times New Roman" w:cs="Times New Roman" w:eastAsia="Times New Roman" w:hAnsi="Times New Roman"/>
          <w:sz w:val="16"/>
          <w:szCs w:val="16"/>
          <w:color w:val="auto"/>
        </w:rPr>
        <w:t>Mortgage loans consist of commercial and residential mortgage loans. Our commercial mortgage loan portfolio consists primarily of non-recourse, fixed rate mortgages on stabilized properties. Our residential mortgage loan portfolio is composed of first lien and home equity mortgages concentrated in Chile and the United States.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00" w:firstLine="576"/>
        <w:spacing w:after="0" w:line="277" w:lineRule="auto"/>
        <w:rPr>
          <w:sz w:val="20"/>
          <w:szCs w:val="20"/>
          <w:color w:val="auto"/>
        </w:rPr>
      </w:pPr>
      <w:r>
        <w:rPr>
          <w:rFonts w:ascii="Times New Roman" w:cs="Times New Roman" w:eastAsia="Times New Roman" w:hAnsi="Times New Roman"/>
          <w:sz w:val="14"/>
          <w:szCs w:val="14"/>
          <w:color w:val="auto"/>
        </w:rPr>
        <w:t>Commercial and residential mortgage loans are generally reported at cost adjusted for amortization of premiums and accrual of discounts, computed using the interest method and net of valuation allowances. Amortized cost excludes accrued interest receivable. The amortized cost of our residential mortgage loans also includes basis adjustments related to fair value hedges in a closed portfolio. See Note 5, Derivative Financial Instruments, for further information. Interest income is accrued on the principal amount of the loan based on the loan’s contractual interest rate. Interest income, as well as prepayment of fees and the amortization of the related premium or discount, is reported in net investment income on the consolidated statements of operations. Accrued interest receivable is reported in accrued investment income on the consolidated statements of financial position. Any changes in the loan valuation allowances are reported in net realized capital gains (losses) on the consolidated statements of operations. Further details relating to our valuation allowance are included under the caption “Financing Receivables Valuation Allowance.”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Direct Financing Leases</w:t>
      </w:r>
    </w:p>
    <w:p>
      <w:pPr>
        <w:spacing w:after="0" w:line="192"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Our direct financing leases are concentrated in Chile. Our Chilean operations enter into private placement contracts for commercial, industrial and office space properties whereby our Chilean operations purchase the real estate and/or building from the seller-lessee but then lease the property back to the seller-lessee. Ownership of the property is transferred to the lessee by the end of the lease term. Direct financing leases are reported as a component of other investments in the consolidated statements of financial position.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Reinsurance Recoverable and Deposit Receivable</w:t>
      </w:r>
    </w:p>
    <w:p>
      <w:pPr>
        <w:spacing w:after="0" w:line="192"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Our reinsurance recoverables include amounts due from reinsurers for paid or unpaid claims, claims incurred but not reported or policy benefits. We cede life, disability, medical and long -term care insurance as well as fixed annuity contracts with significant life insurance risk to other insurance companies through reinsurance. Deposit receivables include amounts due from the reinsurer for fixed annuity contracts without significant life insurance risk recorded using the deposit method of accounting.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Loans</w:t>
      </w:r>
    </w:p>
    <w:p>
      <w:pPr>
        <w:spacing w:after="0" w:line="192"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Our other loans include consumer, auto and other loans (“other loans”) of a consolidated VIE for which the fair value option was elected as well as consumer loans for which the fair value option was not elected. Other loans are generally subject to amortized cost accounting and a valuation allowance if the fair value option is not elected. Other loans are reported as a component of other investments in the consolidated statements of financial position.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Information for Financing Receivables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amortized cost of our financing receivables by credit risk and vintage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3"/>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3"/>
              <w:spacing w:after="0" w:line="148" w:lineRule="exact"/>
              <w:rPr>
                <w:sz w:val="20"/>
                <w:szCs w:val="20"/>
                <w:color w:val="auto"/>
              </w:rPr>
            </w:pPr>
            <w:r>
              <w:rPr>
                <w:rFonts w:ascii="Times New Roman" w:cs="Times New Roman" w:eastAsia="Times New Roman" w:hAnsi="Times New Roman"/>
                <w:sz w:val="13"/>
                <w:szCs w:val="13"/>
                <w:b w:val="1"/>
                <w:bCs w:val="1"/>
                <w:color w:val="auto"/>
              </w:rPr>
              <w:t>Prior</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 and above</w:t>
            </w: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82.0</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1,188.9</w:t>
            </w:r>
          </w:p>
        </w:tc>
        <w:tc>
          <w:tcPr>
            <w:tcW w:w="3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795.0</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1,100.7</w:t>
            </w:r>
          </w:p>
        </w:tc>
        <w:tc>
          <w:tcPr>
            <w:tcW w:w="120" w:type="dxa"/>
            <w:vAlign w:val="bottom"/>
          </w:tcPr>
          <w:p>
            <w:pPr>
              <w:spacing w:after="0"/>
              <w:rPr>
                <w:sz w:val="15"/>
                <w:szCs w:val="15"/>
                <w:color w:val="auto"/>
              </w:rPr>
            </w:pPr>
          </w:p>
        </w:tc>
        <w:tc>
          <w:tcPr>
            <w:tcW w:w="1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2,077.4</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7,779.5</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BBB+ thru BBB-</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211.5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450.8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270.9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1,393.4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2,589.3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BB+ thru BB-</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237.6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 and below</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134.8</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1,488.7</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1,392.2</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1,507.1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2,396.7</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9,739.9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16,659.4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 financing leases: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 and above</w:t>
            </w:r>
          </w:p>
        </w:tc>
        <w:tc>
          <w:tcPr>
            <w:tcW w:w="2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42.3</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232.5</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285.9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BBB+ thru BBB-</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93.7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BB+ thru BB-</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 and below</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4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40.5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356.9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587.9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90.5</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477.1</w:t>
            </w:r>
          </w:p>
        </w:tc>
        <w:tc>
          <w:tcPr>
            <w:tcW w:w="3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432.2</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954.8</w:t>
            </w:r>
          </w:p>
        </w:tc>
        <w:tc>
          <w:tcPr>
            <w:tcW w:w="120" w:type="dxa"/>
            <w:vAlign w:val="bottom"/>
          </w:tcPr>
          <w:p>
            <w:pPr>
              <w:spacing w:after="0"/>
              <w:rPr>
                <w:sz w:val="15"/>
                <w:szCs w:val="15"/>
                <w:color w:val="auto"/>
              </w:rPr>
            </w:pPr>
          </w:p>
        </w:tc>
        <w:tc>
          <w:tcPr>
            <w:tcW w:w="1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1,209.8</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615.0</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3,779.4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Non-performing</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4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Total excluding portfolio layer method basis</w:t>
            </w:r>
          </w:p>
        </w:tc>
        <w:tc>
          <w:tcPr>
            <w:tcW w:w="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90.5</w:t>
            </w: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477.1</w:t>
            </w:r>
          </w:p>
        </w:tc>
        <w:tc>
          <w:tcPr>
            <w:tcW w:w="3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436.0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961.3</w:t>
            </w:r>
          </w:p>
        </w:tc>
        <w:tc>
          <w:tcPr>
            <w:tcW w:w="120" w:type="dxa"/>
            <w:vAlign w:val="bottom"/>
          </w:tcPr>
          <w:p>
            <w:pPr>
              <w:spacing w:after="0"/>
              <w:rPr>
                <w:sz w:val="12"/>
                <w:szCs w:val="12"/>
                <w:color w:val="auto"/>
              </w:rPr>
            </w:pPr>
          </w:p>
        </w:tc>
        <w:tc>
          <w:tcPr>
            <w:tcW w:w="1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1,215.2</w:t>
            </w: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619.5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3,799.6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0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3040" w:type="dxa"/>
            <w:vAlign w:val="bottom"/>
            <w:tcBorders>
              <w:top w:val="single" w:sz="8" w:color="CCEEFF"/>
            </w:tcBorders>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Unallocated portfolio layer method basis</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 (1)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3,796.5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2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14.4</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63.9</w:t>
            </w:r>
          </w:p>
        </w:tc>
        <w:tc>
          <w:tcPr>
            <w:tcW w:w="32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52.3</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Non-performing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4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63.9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52.3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131.2</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Reinsurance recoverable and deposit receivable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19,395.8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24" w:name="page25"/>
    <w:bookmarkEnd w:id="24"/>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3"/>
              <w:spacing w:after="0" w:line="148" w:lineRule="exact"/>
              <w:rPr>
                <w:sz w:val="20"/>
                <w:szCs w:val="20"/>
                <w:color w:val="auto"/>
              </w:rPr>
            </w:pPr>
            <w:r>
              <w:rPr>
                <w:rFonts w:ascii="Times New Roman" w:cs="Times New Roman" w:eastAsia="Times New Roman" w:hAnsi="Times New Roman"/>
                <w:sz w:val="13"/>
                <w:szCs w:val="13"/>
                <w:b w:val="1"/>
                <w:bCs w:val="1"/>
                <w:color w:val="auto"/>
              </w:rPr>
              <w:t>Prior</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3"/>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A- and above</w:t>
            </w: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1,182.1</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793.1</w:t>
            </w:r>
          </w:p>
        </w:tc>
        <w:tc>
          <w:tcPr>
            <w:tcW w:w="3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1,234.3</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2,101.3</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1,463.4</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6,594.0</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13,368.2</w:t>
            </w: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BBB+ thru BBB-</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393.6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231.6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269.1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180.6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1,217.5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2,502.4</w:t>
            </w:r>
          </w:p>
        </w:tc>
        <w:tc>
          <w:tcPr>
            <w:tcW w:w="0" w:type="dxa"/>
            <w:vAlign w:val="bottom"/>
          </w:tcPr>
          <w:p>
            <w:pPr>
              <w:spacing w:after="0"/>
              <w:rPr>
                <w:sz w:val="1"/>
                <w:szCs w:val="1"/>
                <w:color w:val="auto"/>
              </w:rPr>
            </w:pPr>
          </w:p>
        </w:tc>
      </w:tr>
      <w:tr>
        <w:trPr>
          <w:trHeight w:val="180"/>
        </w:trPr>
        <w:tc>
          <w:tcPr>
            <w:tcW w:w="30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BB+ thru BB-</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 and below</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326.5</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1,607.8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1,330.1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1,620.2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2,418.3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1,686.6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8,409.7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17,072.7</w:t>
            </w:r>
          </w:p>
        </w:tc>
        <w:tc>
          <w:tcPr>
            <w:tcW w:w="0" w:type="dxa"/>
            <w:vAlign w:val="bottom"/>
          </w:tcPr>
          <w:p>
            <w:pPr>
              <w:spacing w:after="0"/>
              <w:rPr>
                <w:sz w:val="1"/>
                <w:szCs w:val="1"/>
                <w:color w:val="auto"/>
              </w:rPr>
            </w:pPr>
          </w:p>
        </w:tc>
      </w:tr>
      <w:tr>
        <w:trPr>
          <w:trHeight w:val="156"/>
        </w:trPr>
        <w:tc>
          <w:tcPr>
            <w:tcW w:w="2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Direct financing leases: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 and above</w:t>
            </w:r>
          </w:p>
        </w:tc>
        <w:tc>
          <w:tcPr>
            <w:tcW w:w="2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38.5</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180"/>
        </w:trPr>
        <w:tc>
          <w:tcPr>
            <w:tcW w:w="30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BBB+ thru BBB-</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BB+ thru BB-</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 and below</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48.3</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43.7</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90.0</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252.9</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563.0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350.4</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411.5</w:t>
            </w:r>
          </w:p>
        </w:tc>
        <w:tc>
          <w:tcPr>
            <w:tcW w:w="3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970.3</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1,234.9</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196.0</w:t>
            </w:r>
          </w:p>
        </w:tc>
        <w:tc>
          <w:tcPr>
            <w:tcW w:w="3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427.6</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3,590.7</w:t>
            </w: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Non-performing</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147"/>
        </w:trPr>
        <w:tc>
          <w:tcPr>
            <w:tcW w:w="30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6"/>
                <w:szCs w:val="16"/>
                <w:color w:val="auto"/>
              </w:rPr>
              <w:t>Total excluding portfolio layer method basis</w:t>
            </w:r>
          </w:p>
        </w:tc>
        <w:tc>
          <w:tcPr>
            <w:tcW w:w="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3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976.4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3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3,615.8</w:t>
            </w:r>
          </w:p>
        </w:tc>
        <w:tc>
          <w:tcPr>
            <w:tcW w:w="0" w:type="dxa"/>
            <w:vAlign w:val="bottom"/>
          </w:tcPr>
          <w:p>
            <w:pPr>
              <w:spacing w:after="0"/>
              <w:rPr>
                <w:sz w:val="1"/>
                <w:szCs w:val="1"/>
                <w:color w:val="auto"/>
              </w:rPr>
            </w:pPr>
          </w:p>
        </w:tc>
      </w:tr>
      <w:tr>
        <w:trPr>
          <w:trHeight w:val="119"/>
        </w:trPr>
        <w:tc>
          <w:tcPr>
            <w:tcW w:w="3040" w:type="dxa"/>
            <w:vAlign w:val="bottom"/>
            <w:tcBorders>
              <w:top w:val="single" w:sz="8" w:color="CCEEFF"/>
            </w:tcBorders>
            <w:gridSpan w:val="2"/>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Unallocated portfolio layer method basis</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 (1)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3,607.4</w:t>
            </w:r>
          </w:p>
        </w:tc>
        <w:tc>
          <w:tcPr>
            <w:tcW w:w="0" w:type="dxa"/>
            <w:vAlign w:val="bottom"/>
          </w:tcPr>
          <w:p>
            <w:pPr>
              <w:spacing w:after="0"/>
              <w:rPr>
                <w:sz w:val="1"/>
                <w:szCs w:val="1"/>
                <w:color w:val="auto"/>
              </w:rPr>
            </w:pPr>
          </w:p>
        </w:tc>
      </w:tr>
      <w:tr>
        <w:trPr>
          <w:trHeight w:val="156"/>
        </w:trPr>
        <w:tc>
          <w:tcPr>
            <w:tcW w:w="2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loans: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2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84.2</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61.9</w:t>
            </w:r>
          </w:p>
        </w:tc>
        <w:tc>
          <w:tcPr>
            <w:tcW w:w="32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Non-performing</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84.3</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61.9</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Reinsurance recoverable and deposit receivable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19,493.4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400" w:hanging="282"/>
        <w:spacing w:after="0" w:line="259" w:lineRule="auto"/>
        <w:tabs>
          <w:tab w:leader="none" w:pos="28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unallocated basis adjustments related to fair value hedges utilizing the portfolio layer method. See Note 5, Derivative Financial Instruments, for further details.</w:t>
      </w:r>
    </w:p>
    <w:p>
      <w:pPr>
        <w:spacing w:after="0" w:line="155" w:lineRule="exact"/>
        <w:rPr>
          <w:sz w:val="20"/>
          <w:szCs w:val="20"/>
          <w:color w:val="auto"/>
        </w:rPr>
      </w:pPr>
    </w:p>
    <w:p>
      <w:pPr>
        <w:ind w:left="2" w:right="20" w:firstLine="576"/>
        <w:spacing w:after="0" w:line="247" w:lineRule="auto"/>
        <w:rPr>
          <w:sz w:val="20"/>
          <w:szCs w:val="20"/>
          <w:color w:val="auto"/>
        </w:rPr>
      </w:pPr>
      <w:r>
        <w:rPr>
          <w:rFonts w:ascii="Times New Roman" w:cs="Times New Roman" w:eastAsia="Times New Roman" w:hAnsi="Times New Roman"/>
          <w:sz w:val="16"/>
          <w:szCs w:val="16"/>
          <w:color w:val="auto"/>
        </w:rPr>
        <w:t>The amortized cost of commercial mortgage loans, direct financing leases, residential mortgage loans and other loans excluded accrued interest receivable of $ 70.8 million, $1.5 million, $12.9 million and $1.1 million, respectively, as of March 31, 2025, and $69.2 million, $1.2 million, $12.0 million and $1.3 million, respectively, as of December 31, 2024.</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Receivables Credit Monitoring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Commercial Mortgage Loan Credit Risk Profile Based on Internal Rating</w:t>
      </w:r>
    </w:p>
    <w:p>
      <w:pPr>
        <w:spacing w:after="0" w:line="190" w:lineRule="exact"/>
        <w:rPr>
          <w:sz w:val="20"/>
          <w:szCs w:val="20"/>
          <w:color w:val="auto"/>
        </w:rPr>
      </w:pPr>
    </w:p>
    <w:p>
      <w:pPr>
        <w:ind w:firstLine="576"/>
        <w:spacing w:after="0" w:line="276" w:lineRule="auto"/>
        <w:rPr>
          <w:sz w:val="20"/>
          <w:szCs w:val="20"/>
          <w:color w:val="auto"/>
        </w:rPr>
      </w:pPr>
      <w:r>
        <w:rPr>
          <w:rFonts w:ascii="Times New Roman" w:cs="Times New Roman" w:eastAsia="Times New Roman" w:hAnsi="Times New Roman"/>
          <w:sz w:val="14"/>
          <w:szCs w:val="14"/>
          <w:color w:val="auto"/>
        </w:rPr>
        <w:t>We actively monitor and manage our commercial mortgage loan and direct financing lease portfolios. All commercial mortgage loans and direct financing leases are analyzed regularly and substantially all are internally rated, based on a proprietary risk rating cash flow model, in order to monitor the financial quality of these assets. The models stress expected cash flows at various levels and at different points in time depending on the durability of the income stream, which includes our assessment of factors such as location (macro and micro markets), tenant quality and lease expirations. Our internal rating analysis presents expected losses in terms of an S&amp;P Global (“S&amp;P”) bond equivalent rating for domestic commercial mortgage loans and Feller rate equivalent for Chilean commercial mortgage loans and direct financing leases. As the credit risk for commercial mortgage loans and direct financing leases increases, we adjust our internal ratings downward with loans in the category “B+ and below” having the highest risk for credit loss. Internal ratings on commercial mortgage loans and direct financing leases are updated at least annually and potentially more often for certain investments with material changes in collateral value or occupancy and for investments on an internal “watch list”.</w:t>
      </w:r>
    </w:p>
    <w:p>
      <w:pPr>
        <w:spacing w:after="0" w:line="331" w:lineRule="exact"/>
        <w:rPr>
          <w:sz w:val="20"/>
          <w:szCs w:val="20"/>
          <w:color w:val="auto"/>
        </w:rPr>
      </w:pPr>
    </w:p>
    <w:p>
      <w:pPr>
        <w:ind w:right="160" w:firstLine="576"/>
        <w:spacing w:after="0" w:line="243" w:lineRule="auto"/>
        <w:rPr>
          <w:sz w:val="20"/>
          <w:szCs w:val="20"/>
          <w:color w:val="auto"/>
        </w:rPr>
      </w:pPr>
      <w:r>
        <w:rPr>
          <w:rFonts w:ascii="Times New Roman" w:cs="Times New Roman" w:eastAsia="Times New Roman" w:hAnsi="Times New Roman"/>
          <w:sz w:val="16"/>
          <w:szCs w:val="16"/>
          <w:color w:val="auto"/>
        </w:rPr>
        <w:t>Commercial mortgage loans and direct financing leases that require more frequent and detailed attention are identified and placed on an internal “watch list”. Among the criteria that may indicate a potential problem are significant negative changes in ratios of loan to value or contract rents to debt service, major tenant vacancies or bankruptcies, borrower sponsorship problems, late payments, delinquent taxes and loan relief/restructuring requests.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Residential Mortgage Loan Credit Risk Profile Based on Performance Status</w:t>
      </w:r>
    </w:p>
    <w:p>
      <w:pPr>
        <w:spacing w:after="0" w:line="190" w:lineRule="exact"/>
        <w:rPr>
          <w:sz w:val="20"/>
          <w:szCs w:val="20"/>
          <w:color w:val="auto"/>
        </w:rPr>
      </w:pPr>
    </w:p>
    <w:p>
      <w:pPr>
        <w:ind w:right="280" w:firstLine="576"/>
        <w:spacing w:after="0" w:line="241" w:lineRule="auto"/>
        <w:rPr>
          <w:sz w:val="20"/>
          <w:szCs w:val="20"/>
          <w:color w:val="auto"/>
        </w:rPr>
      </w:pPr>
      <w:r>
        <w:rPr>
          <w:rFonts w:ascii="Times New Roman" w:cs="Times New Roman" w:eastAsia="Times New Roman" w:hAnsi="Times New Roman"/>
          <w:sz w:val="16"/>
          <w:szCs w:val="16"/>
          <w:color w:val="auto"/>
        </w:rPr>
        <w:t>Our residential mortgage loan portfolio is monitored based on performance of the loans. Monitoring on a residential mortgage loan increases when the loan is delinquent or earlier if there is an indication of potential impairment. We define non-performing domestic residential mortgage loans as loans 90 days or greater delinquent or on non -accrual status. We define non- performing residential first lien mortgages in the Chilean market as loans that have missed a specified number of coupon payments based on the nature of the loans and collection practices in that 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Loans Credit Risk Profile Based on Performance Status</w:t>
      </w:r>
    </w:p>
    <w:p>
      <w:pPr>
        <w:spacing w:after="0" w:line="190"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Our other loans are monitored based on performance of the loans. Monitoring on other loans increases when the loan is delinquent or earlier if there is an indication of potential impairment.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Non-Accrual Financing Receivables</w:t>
      </w:r>
    </w:p>
    <w:p>
      <w:pPr>
        <w:spacing w:after="0" w:line="190" w:lineRule="exact"/>
        <w:rPr>
          <w:sz w:val="20"/>
          <w:szCs w:val="20"/>
          <w:color w:val="auto"/>
        </w:rPr>
      </w:pPr>
    </w:p>
    <w:p>
      <w:pPr>
        <w:ind w:right="100" w:firstLine="576"/>
        <w:spacing w:after="0" w:line="238" w:lineRule="auto"/>
        <w:rPr>
          <w:sz w:val="20"/>
          <w:szCs w:val="20"/>
          <w:color w:val="auto"/>
        </w:rPr>
      </w:pPr>
      <w:r>
        <w:rPr>
          <w:rFonts w:ascii="Times New Roman" w:cs="Times New Roman" w:eastAsia="Times New Roman" w:hAnsi="Times New Roman"/>
          <w:sz w:val="16"/>
          <w:szCs w:val="16"/>
          <w:color w:val="auto"/>
        </w:rPr>
        <w:t>Financing receivables are placed on non-accrual status if we have concern regarding the collectability of future payments or if a financing receivable has matured without being paid off or extended. Factors considered may include conversations with the borrower, loss of major tenant, bankruptcy of borrower or major tenant, decreased property cash flow for commercial mortgage loans and direct financing leases or number of days past due and other circumstances for residential mortgage loans. Based on an assessment as to the collectability of the principal, a determination is made to apply any payments received either against the principal, against the valuation allowance or according to the contractual terms. When a financing receivable is placed on non-accrual status, the accrued unpaid interest receivable is reversed against interest income. Accrual of interest resumes after factors resulting in doubts about collectability have improved. Financing receivables in the Chilean market are carried on accrual for a longer period of delinquency than domestic financing receivables, as assessment of collectability is based on the nature of the financing receivables and collection practices in that market.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amortized cost of financing receivables on non-accrual status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34"/>
        </w:trPr>
        <w:tc>
          <w:tcPr>
            <w:tcW w:w="5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Amortized cost</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Ending</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of nonaccrual</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assets without</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on nonaccrual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on nonaccrual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 valuation</w:t>
            </w:r>
          </w:p>
        </w:tc>
      </w:tr>
      <w:tr>
        <w:trPr>
          <w:trHeight w:val="170"/>
        </w:trPr>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status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allowance</w:t>
            </w:r>
          </w:p>
        </w:tc>
      </w:tr>
      <w:tr>
        <w:trPr>
          <w:trHeight w:val="136"/>
        </w:trPr>
        <w:tc>
          <w:tcPr>
            <w:tcW w:w="5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70.5</w:t>
            </w:r>
          </w:p>
        </w:tc>
        <w:tc>
          <w:tcPr>
            <w:tcW w:w="2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60.7</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5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w:t>
            </w: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loans</w:t>
            </w: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r>
      <w:tr>
        <w:trPr>
          <w:trHeight w:val="172"/>
        </w:trPr>
        <w:tc>
          <w:tcPr>
            <w:tcW w:w="55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86.1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77.4</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8.2</w:t>
            </w:r>
          </w:p>
        </w:tc>
      </w:tr>
      <w:tr>
        <w:trPr>
          <w:trHeight w:val="20"/>
        </w:trPr>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24"/>
        </w:trPr>
        <w:tc>
          <w:tcPr>
            <w:tcW w:w="5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4"/>
        </w:trPr>
        <w:tc>
          <w:tcPr>
            <w:tcW w:w="5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Amortized cost</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Ending</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9"/>
              </w:rPr>
              <w:t>of nonaccrual</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assets without</w:t>
            </w:r>
          </w:p>
        </w:tc>
      </w:tr>
      <w:tr>
        <w:trPr>
          <w:trHeight w:val="156"/>
        </w:trPr>
        <w:tc>
          <w:tcPr>
            <w:tcW w:w="5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on nonaccrual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on nonaccrual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 valuation</w:t>
            </w:r>
          </w:p>
        </w:tc>
      </w:tr>
      <w:tr>
        <w:trPr>
          <w:trHeight w:val="170"/>
        </w:trPr>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status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allowance</w:t>
            </w:r>
          </w:p>
        </w:tc>
      </w:tr>
      <w:tr>
        <w:trPr>
          <w:trHeight w:val="136"/>
        </w:trPr>
        <w:tc>
          <w:tcPr>
            <w:tcW w:w="55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2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5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86.1</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46"/>
        </w:trPr>
        <w:tc>
          <w:tcPr>
            <w:tcW w:w="57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w w:val="98"/>
              </w:rPr>
              <w:t>Interest income recognized on non-accrual financing receivables was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0"/>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5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9"/>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8"/>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36"/>
        </w:trPr>
        <w:tc>
          <w:tcPr>
            <w:tcW w:w="5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460" w:type="dxa"/>
            <w:vAlign w:val="bottom"/>
            <w:gridSpan w:val="6"/>
          </w:tcPr>
          <w:p>
            <w:pPr>
              <w:jc w:val="right"/>
              <w:ind w:right="888"/>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55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5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(0.2)</w:t>
            </w:r>
          </w:p>
        </w:tc>
      </w:tr>
      <w:tr>
        <w:trPr>
          <w:trHeight w:val="20"/>
        </w:trPr>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27" w:name="page28"/>
    <w:bookmarkEnd w:id="2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aging of our financing receivables, based on amortized cost, was as follows: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Amortized</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cost</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90 days 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90 days or</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30-59 days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60-89 days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more past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more and</w:t>
            </w:r>
          </w:p>
        </w:tc>
      </w:tr>
      <w:tr>
        <w:trPr>
          <w:trHeight w:val="170"/>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Total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accruing</w:t>
            </w:r>
          </w:p>
        </w:tc>
      </w:tr>
      <w:tr>
        <w:trPr>
          <w:trHeight w:val="136"/>
        </w:trPr>
        <w:tc>
          <w:tcPr>
            <w:tcW w:w="2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80"/>
        </w:trPr>
        <w:tc>
          <w:tcPr>
            <w:tcW w:w="2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26.6</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42.2</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16,617.2</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16,659.4</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2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Direct financing leases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584.4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2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 (2)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103.5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3,696.1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3,799.6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w:t>
            </w:r>
          </w:p>
        </w:tc>
      </w:tr>
      <w:tr>
        <w:trPr>
          <w:trHeight w:val="180"/>
        </w:trPr>
        <w:tc>
          <w:tcPr>
            <w:tcW w:w="27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loans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131.2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w:t>
            </w:r>
          </w:p>
        </w:tc>
      </w:tr>
      <w:tr>
        <w:trPr>
          <w:trHeight w:val="172"/>
        </w:trPr>
        <w:tc>
          <w:tcPr>
            <w:tcW w:w="27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73.5</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29.9</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50.7</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154.1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21,024.0</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21,178.1</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11.0</w:t>
            </w:r>
          </w:p>
        </w:tc>
      </w:tr>
      <w:tr>
        <w:trPr>
          <w:trHeight w:val="20"/>
        </w:trPr>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24"/>
        </w:trPr>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34"/>
        </w:trPr>
        <w:tc>
          <w:tcPr>
            <w:tcW w:w="2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48"/>
              <w:spacing w:after="0" w:line="134" w:lineRule="exact"/>
              <w:rPr>
                <w:sz w:val="20"/>
                <w:szCs w:val="20"/>
                <w:color w:val="auto"/>
              </w:rPr>
            </w:pPr>
            <w:r>
              <w:rPr>
                <w:rFonts w:ascii="Times New Roman" w:cs="Times New Roman" w:eastAsia="Times New Roman" w:hAnsi="Times New Roman"/>
                <w:sz w:val="13"/>
                <w:szCs w:val="13"/>
                <w:b w:val="1"/>
                <w:bCs w:val="1"/>
                <w:color w:val="auto"/>
              </w:rPr>
              <w:t>Amortized</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cost</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90 days 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90 days or</w:t>
            </w:r>
          </w:p>
        </w:tc>
      </w:tr>
      <w:tr>
        <w:trPr>
          <w:trHeight w:val="156"/>
        </w:trPr>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30-59 days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60-89 days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more past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more and</w:t>
            </w:r>
          </w:p>
        </w:tc>
      </w:tr>
      <w:tr>
        <w:trPr>
          <w:trHeight w:val="170"/>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8"/>
              </w:rPr>
              <w:t>past due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Total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accruing</w:t>
            </w:r>
          </w:p>
        </w:tc>
      </w:tr>
      <w:tr>
        <w:trPr>
          <w:trHeight w:val="136"/>
        </w:trPr>
        <w:tc>
          <w:tcPr>
            <w:tcW w:w="2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80"/>
        </w:trPr>
        <w:tc>
          <w:tcPr>
            <w:tcW w:w="2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70.3</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16,973.9</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17,072.7</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Direct financing leases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559.4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 (2)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3,523.0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3,615.8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27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loans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140.8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72"/>
        </w:trPr>
        <w:tc>
          <w:tcPr>
            <w:tcW w:w="27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130.4</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18.9</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51.4</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200.7</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21,197.1</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21,397.8</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w:t>
            </w:r>
          </w:p>
        </w:tc>
      </w:tr>
      <w:tr>
        <w:trPr>
          <w:trHeight w:val="20"/>
        </w:trPr>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both March 31, 2025 and December 31, 2024,no reinsurance recoverables or deposit receivables were considered past due.</w:t>
      </w:r>
    </w:p>
    <w:p>
      <w:pPr>
        <w:spacing w:after="0" w:line="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unallocated basis adjustments related to fair value hedges utilizing the portfolio layer method.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Financing Receivables Valuation Allowance</w:t>
      </w:r>
    </w:p>
    <w:p>
      <w:pPr>
        <w:spacing w:after="0" w:line="190" w:lineRule="exact"/>
        <w:rPr>
          <w:sz w:val="20"/>
          <w:szCs w:val="20"/>
          <w:color w:val="auto"/>
        </w:rPr>
      </w:pPr>
    </w:p>
    <w:p>
      <w:pPr>
        <w:ind w:left="2" w:right="120" w:firstLine="576"/>
        <w:spacing w:after="0" w:line="239" w:lineRule="auto"/>
        <w:rPr>
          <w:sz w:val="20"/>
          <w:szCs w:val="20"/>
          <w:color w:val="auto"/>
        </w:rPr>
      </w:pPr>
      <w:r>
        <w:rPr>
          <w:rFonts w:ascii="Times New Roman" w:cs="Times New Roman" w:eastAsia="Times New Roman" w:hAnsi="Times New Roman"/>
          <w:sz w:val="16"/>
          <w:szCs w:val="16"/>
          <w:color w:val="auto"/>
        </w:rPr>
        <w:t>We establish a valuation allowance to provide for the risk of credit losses inherent in our financing receivables. The valuation allowance is maintained at a level believed adequate by management to absorb estimated expected credit losses. The valuation allowance is based on amortized cost excluding accrued interest receivable and includes reserves for pools of financing receivables with similar risk characteristics. We do not measure a credit loss allowance on accrued interest receivable because we write off the uncollectible accrued interest receivable balance to net investment income in a timely manner, generally within 90 days domestically or, in the Chilean market, based on the nature of the loans and collection practices in that market. During 2025 and 2024, we did not write off any commercial mortgage loan accrued interest or residential mortgage loan accrued interest.</w:t>
      </w:r>
    </w:p>
    <w:p>
      <w:pPr>
        <w:spacing w:after="0" w:line="170" w:lineRule="exact"/>
        <w:rPr>
          <w:sz w:val="20"/>
          <w:szCs w:val="20"/>
          <w:color w:val="auto"/>
        </w:rPr>
      </w:pPr>
    </w:p>
    <w:p>
      <w:pPr>
        <w:ind w:left="2" w:right="120" w:firstLine="576"/>
        <w:spacing w:after="0" w:line="239" w:lineRule="auto"/>
        <w:rPr>
          <w:sz w:val="20"/>
          <w:szCs w:val="20"/>
          <w:color w:val="auto"/>
        </w:rPr>
      </w:pPr>
      <w:r>
        <w:rPr>
          <w:rFonts w:ascii="Times New Roman" w:cs="Times New Roman" w:eastAsia="Times New Roman" w:hAnsi="Times New Roman"/>
          <w:sz w:val="16"/>
          <w:szCs w:val="16"/>
          <w:color w:val="auto"/>
        </w:rPr>
        <w:t>For commercial and residential mortgage loans and direct financing leases, management’s periodic evaluation and assessment of the valuation allowance adequacy is based on known and inherent risks in the portfolio, adverse situations that may affect a borrower’s ability to repay, the estimated value of the underlying collateral, composition of the portfolio, portfolio delinquency information, underwriting standards, peer group information, current and forecasted economic conditions, loss experience and other relevant factors. For reinsurance recoverables and deposit receivables, management’s periodic evaluation and assessment of the valuation allowance adequacy is based on known and inherent risks, adverse situations that may affect a reinsurer’s ability to repay, current and forecasted economic conditions, industry loss experience and other relevant factors.</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60" w:firstLine="576"/>
        <w:spacing w:after="0" w:line="238" w:lineRule="auto"/>
        <w:rPr>
          <w:sz w:val="20"/>
          <w:szCs w:val="20"/>
          <w:color w:val="auto"/>
        </w:rPr>
      </w:pPr>
      <w:r>
        <w:rPr>
          <w:rFonts w:ascii="Times New Roman" w:cs="Times New Roman" w:eastAsia="Times New Roman" w:hAnsi="Times New Roman"/>
          <w:sz w:val="16"/>
          <w:szCs w:val="16"/>
          <w:color w:val="auto"/>
        </w:rPr>
        <w:t>Our commercial mortgage loans and direct financing leases are pooled by risk rating level with an estimated loss ratio applied against each risk rating level. The loss ratio is generally based upon historical loss experience for each risk rating level as adjusted for certain current and forecasted environmental factors management believes to be relevant. Environmental factors are forecasted for two years or less with immediate reversion to historical experience. The allowance for direct financing leases is also adjusted for the residual value of the leased assets. A commercial mortgage loan or direct financing lease is evaluated individually if it does not continue to share similar risk characteristics of a pool. We analyze the need for an individual evaluation for any domestic commercial mortgage loan that is delinquent for 60 days or more, in process of foreclosure, restructured, on the internal “watch list” or that currently is evaluated individually. We analyze the need for an individual evaluation for any Chilean commercial mortgage loan or direct financing lease that is considered past due based on collection practices in the Chilean market and the nature of the loan or lease.</w:t>
      </w:r>
    </w:p>
    <w:p>
      <w:pPr>
        <w:spacing w:after="0" w:line="170"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We estimate expected credit losses for certain commercial mortgage loan or direct financing lease commitments where we have a contractual obligation to extend credit. The expected credit losses are estimated based on the commercial mortgage loan or direct financing lease valuation allowance process described previously, adjusted for probability of funding. The estimated expected credit losses for commercial mortgage loan and direct financing lease commitments are reported in other liabilities on the consolidated statements of financial position. The change in the credit loss liability for commitments is included in net realized capital gains (losses) on the consolidated statements of operations. Once funded, expected credit losses for commercial mortgage loans or direct financing leases are included within the commercial mortgage loan or direct financing lease valuation allowance described previously.</w:t>
      </w:r>
    </w:p>
    <w:p>
      <w:pPr>
        <w:spacing w:after="0" w:line="170"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We evaluate residential mortgage loans based on aggregated risk factors and historical loss experience by pool type. We adjust these quantitative factors for qualitative factors of present and forecasted conditions. Qualitative factors include items such as economic and business conditions, changes in the portfolio, value of underlying collateral and concentrations. A residential mortgage loan is evaluated individually if it does not continue to share similar risk characteristics of a pool. We analyze the need for an individual evaluation for any domestic residential mortgage loan that is delinquent for 60 days or more, in process of foreclosure, restructured, on the internal “watch list” or that currently is evaluated individually. We analyze the need for an individual evaluation for any Chilean residential mortgage loan that is considered past due based on collection practices in the Chilean market and the nature of the loan.</w:t>
      </w:r>
    </w:p>
    <w:p>
      <w:pPr>
        <w:spacing w:after="0" w:line="170" w:lineRule="exact"/>
        <w:rPr>
          <w:sz w:val="20"/>
          <w:szCs w:val="20"/>
          <w:color w:val="auto"/>
        </w:rPr>
      </w:pPr>
    </w:p>
    <w:p>
      <w:pPr>
        <w:ind w:right="20" w:firstLine="576"/>
        <w:spacing w:after="0" w:line="237" w:lineRule="auto"/>
        <w:rPr>
          <w:sz w:val="20"/>
          <w:szCs w:val="20"/>
          <w:color w:val="auto"/>
        </w:rPr>
      </w:pPr>
      <w:r>
        <w:rPr>
          <w:rFonts w:ascii="Times New Roman" w:cs="Times New Roman" w:eastAsia="Times New Roman" w:hAnsi="Times New Roman"/>
          <w:sz w:val="16"/>
          <w:szCs w:val="16"/>
          <w:color w:val="auto"/>
        </w:rPr>
        <w:t>As discussed previously, commercial and residential mortgage loans and direct financing leases are evaluated individually if the asset does not continue to share similar risk characteristics of a pool. When we determine a commercial or residential mortgage loan is probable of foreclosure, a valuation allowance is established equal to the difference between the carrying amount of the mortgage loan and the estimated value of the collateral reduced by the cost to sell or for certain residential mortgage loans, the present value of the loan’s expected future cash flows. For certain commercial mortgage loans where repayment is expected to be provided substantially through the operation or sale of the collateral and the borrower is experiencing financial difficulty, we elect to establish a valuation allowance equal to the difference between the carrying amount of the mortgage loan and the estimated value of the real estate collateral, which may be reduced by the cost to sell. Estimated value may also be based on either the present value of the expected future cash flows discounted at the asset’s effective interest rate or the asset’s observable market price. Subsequent changes in the estimated value are reflected in the valuation allowance. Amounts on financing receivables deemed to be uncollectible are charged off and removed from the valuation allowance. The change in the valuation allowance for loans and direct financing leases is included in net realized capital gains (losses) on the consolidated statements of operations.</w:t>
      </w:r>
    </w:p>
    <w:p>
      <w:pPr>
        <w:spacing w:after="0" w:line="174"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Our reinsurance recoverables and deposit receivable are pooled by reinsurer risk rating with an estimated loss ratio applied against each risk rating level. The loss ratio is generally based upon industry historical loss experience and expected recovery timing as adjusted for certain current and forecasted environmental factors management believes to be relevant. Environmental factors are forecasted for five years or less with immediate reversion to industry historical experience. A reinsurance recoverable or deposit receivable is evaluated individually if it does not continue to share similar risk characteristics of a pool. We analyze the need for an individual evaluation for any reinsurance recoverable or deposit receivable based on past due payments and changes in reinsurer risk ratings. The change in the valuation allowance for reinsurance recoverables and deposit receivable is included in benefits, claims and settlement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rollforward of our valuation allowance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1"/>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34"/>
        </w:trPr>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3"/>
                <w:szCs w:val="13"/>
                <w:b w:val="1"/>
                <w:bCs w:val="1"/>
                <w:color w:val="auto"/>
              </w:rPr>
              <w:t>Direct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mortgage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Reinsurance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0"/>
        </w:trPr>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recoverables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6"/>
        </w:trPr>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1120" w:type="dxa"/>
            <w:vAlign w:val="bottom"/>
            <w:gridSpan w:val="3"/>
            <w:shd w:val="clear" w:color="auto" w:fill="CCEEFF"/>
          </w:tcPr>
          <w:p>
            <w:pPr>
              <w:ind w:left="10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188.6</w:t>
            </w:r>
          </w:p>
        </w:tc>
        <w:tc>
          <w:tcPr>
            <w:tcW w:w="2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w:t>
            </w:r>
          </w:p>
        </w:tc>
        <w:tc>
          <w:tcPr>
            <w:tcW w:w="32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w:t>
            </w: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r>
      <w:tr>
        <w:trPr>
          <w:trHeight w:val="172"/>
        </w:trPr>
        <w:tc>
          <w:tcPr>
            <w:tcW w:w="34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Ending balance</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185.1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10.2</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201.7</w:t>
            </w:r>
          </w:p>
        </w:tc>
      </w:tr>
      <w:tr>
        <w:trPr>
          <w:trHeight w:val="20"/>
        </w:trPr>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24"/>
        </w:trPr>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1"/>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34"/>
        </w:trPr>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Direct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mortgage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Reinsurance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0"/>
        </w:trPr>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recoverables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6"/>
        </w:trPr>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11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128.8</w:t>
            </w:r>
          </w:p>
        </w:tc>
        <w:tc>
          <w:tcPr>
            <w:tcW w:w="2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ind w:left="387"/>
              <w:spacing w:after="0" w:line="180" w:lineRule="exact"/>
              <w:rPr>
                <w:sz w:val="20"/>
                <w:szCs w:val="20"/>
                <w:color w:val="auto"/>
              </w:rPr>
            </w:pPr>
            <w:r>
              <w:rPr>
                <w:rFonts w:ascii="Times New Roman" w:cs="Times New Roman" w:eastAsia="Times New Roman" w:hAnsi="Times New Roman"/>
                <w:sz w:val="16"/>
                <w:szCs w:val="16"/>
                <w:color w:val="auto"/>
                <w:w w:val="99"/>
              </w:rPr>
              <w:t>6.7</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2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139.6</w:t>
            </w: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left="387"/>
              <w:spacing w:after="0" w:line="180" w:lineRule="exact"/>
              <w:rPr>
                <w:sz w:val="20"/>
                <w:szCs w:val="20"/>
                <w:color w:val="auto"/>
              </w:rPr>
            </w:pPr>
            <w:r>
              <w:rPr>
                <w:rFonts w:ascii="Times New Roman" w:cs="Times New Roman" w:eastAsia="Times New Roman" w:hAnsi="Times New Roman"/>
                <w:sz w:val="16"/>
                <w:szCs w:val="16"/>
                <w:color w:val="auto"/>
                <w:w w:val="99"/>
              </w:rPr>
              <w:t>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left="387"/>
              <w:spacing w:after="0" w:line="180" w:lineRule="exact"/>
              <w:rPr>
                <w:sz w:val="20"/>
                <w:szCs w:val="20"/>
                <w:color w:val="auto"/>
              </w:rPr>
            </w:pPr>
            <w:r>
              <w:rPr>
                <w:rFonts w:ascii="Times New Roman" w:cs="Times New Roman" w:eastAsia="Times New Roman" w:hAnsi="Times New Roman"/>
                <w:sz w:val="16"/>
                <w:szCs w:val="16"/>
                <w:color w:val="auto"/>
                <w:w w:val="99"/>
              </w:rPr>
              <w:t>0.3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34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367"/>
              <w:spacing w:after="0" w:line="180" w:lineRule="exact"/>
              <w:rPr>
                <w:sz w:val="20"/>
                <w:szCs w:val="20"/>
                <w:color w:val="auto"/>
              </w:rPr>
            </w:pPr>
            <w:r>
              <w:rPr>
                <w:rFonts w:ascii="Times New Roman" w:cs="Times New Roman" w:eastAsia="Times New Roman" w:hAnsi="Times New Roman"/>
                <w:sz w:val="16"/>
                <w:szCs w:val="16"/>
                <w:color w:val="auto"/>
                <w:w w:val="97"/>
              </w:rPr>
              <w:t>(0.1)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72"/>
        </w:trPr>
        <w:tc>
          <w:tcPr>
            <w:tcW w:w="346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Ending balance</w:t>
            </w: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144.5</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0.7</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center"/>
              <w:ind w:left="387"/>
              <w:spacing w:after="0" w:line="172" w:lineRule="exact"/>
              <w:rPr>
                <w:sz w:val="20"/>
                <w:szCs w:val="20"/>
                <w:color w:val="auto"/>
              </w:rPr>
            </w:pPr>
            <w:r>
              <w:rPr>
                <w:rFonts w:ascii="Times New Roman" w:cs="Times New Roman" w:eastAsia="Times New Roman" w:hAnsi="Times New Roman"/>
                <w:sz w:val="16"/>
                <w:szCs w:val="16"/>
                <w:color w:val="auto"/>
                <w:w w:val="99"/>
              </w:rPr>
              <w:t>8.8</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157.2</w:t>
            </w:r>
          </w:p>
        </w:tc>
      </w:tr>
      <w:tr>
        <w:trPr>
          <w:trHeight w:val="20"/>
        </w:trPr>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both the three months ended March 31, 2025 and 2024, no allowance was recorded for other loans.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Mortgage Loans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periodically purchase mortgage loans as well as sell mortgage loans we have originated. Mortgage loans purchased and sold were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3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Borders>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36"/>
        </w:trPr>
        <w:tc>
          <w:tcPr>
            <w:tcW w:w="32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60" w:type="dxa"/>
            <w:vAlign w:val="bottom"/>
            <w:gridSpan w:val="2"/>
          </w:tcPr>
          <w:p>
            <w:pPr>
              <w:jc w:val="right"/>
              <w:ind w:right="714"/>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w:t>
            </w:r>
          </w:p>
        </w:tc>
        <w:tc>
          <w:tcPr>
            <w:tcW w:w="3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32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Purchased</w:t>
            </w:r>
          </w:p>
        </w:tc>
        <w:tc>
          <w:tcPr>
            <w:tcW w:w="4040" w:type="dxa"/>
            <w:vAlign w:val="bottom"/>
            <w:gridSpan w:val="2"/>
          </w:tcPr>
          <w:p>
            <w:pPr>
              <w:jc w:val="right"/>
              <w:ind w:right="7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39.9</w:t>
            </w:r>
          </w:p>
        </w:tc>
        <w:tc>
          <w:tcPr>
            <w:tcW w:w="1260" w:type="dxa"/>
            <w:vAlign w:val="bottom"/>
            <w:gridSpan w:val="2"/>
          </w:tcPr>
          <w:p>
            <w:pPr>
              <w:jc w:val="right"/>
              <w:ind w:right="8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57.0</w:t>
            </w:r>
          </w:p>
        </w:tc>
        <w:tc>
          <w:tcPr>
            <w:tcW w:w="20" w:type="dxa"/>
            <w:vAlign w:val="bottom"/>
          </w:tcPr>
          <w:p>
            <w:pPr>
              <w:spacing w:after="0"/>
              <w:rPr>
                <w:sz w:val="15"/>
                <w:szCs w:val="15"/>
                <w:color w:val="auto"/>
              </w:rPr>
            </w:pPr>
          </w:p>
        </w:tc>
      </w:tr>
      <w:tr>
        <w:trPr>
          <w:trHeight w:val="180"/>
        </w:trPr>
        <w:tc>
          <w:tcPr>
            <w:tcW w:w="32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Sold</w:t>
            </w:r>
          </w:p>
        </w:tc>
        <w:tc>
          <w:tcPr>
            <w:tcW w:w="3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68.9</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0" w:type="dxa"/>
            <w:vAlign w:val="bottom"/>
            <w:shd w:val="clear" w:color="auto" w:fill="CCEEFF"/>
          </w:tcPr>
          <w:p>
            <w:pPr>
              <w:spacing w:after="0"/>
              <w:rPr>
                <w:sz w:val="15"/>
                <w:szCs w:val="15"/>
                <w:color w:val="auto"/>
              </w:rPr>
            </w:pPr>
          </w:p>
        </w:tc>
      </w:tr>
      <w:tr>
        <w:trPr>
          <w:trHeight w:val="180"/>
        </w:trPr>
        <w:tc>
          <w:tcPr>
            <w:tcW w:w="3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2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Purchased</w:t>
            </w:r>
          </w:p>
        </w:tc>
        <w:tc>
          <w:tcPr>
            <w:tcW w:w="3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265.0</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38.4</w:t>
            </w:r>
          </w:p>
        </w:tc>
        <w:tc>
          <w:tcPr>
            <w:tcW w:w="20" w:type="dxa"/>
            <w:vAlign w:val="bottom"/>
            <w:shd w:val="clear" w:color="auto" w:fill="CCEEFF"/>
          </w:tcPr>
          <w:p>
            <w:pPr>
              <w:spacing w:after="0"/>
              <w:rPr>
                <w:sz w:val="15"/>
                <w:szCs w:val="15"/>
                <w:color w:val="auto"/>
              </w:rPr>
            </w:pPr>
          </w:p>
        </w:tc>
      </w:tr>
      <w:tr>
        <w:trPr>
          <w:trHeight w:val="205"/>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Sold</w:t>
            </w:r>
          </w:p>
        </w:tc>
        <w:tc>
          <w:tcPr>
            <w:tcW w:w="3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r>
      <w:tr>
        <w:trPr>
          <w:trHeight w:val="729"/>
        </w:trPr>
        <w:tc>
          <w:tcPr>
            <w:tcW w:w="3200" w:type="dxa"/>
            <w:vAlign w:val="bottom"/>
          </w:tcPr>
          <w:p>
            <w:pPr>
              <w:spacing w:after="0"/>
              <w:rPr>
                <w:sz w:val="24"/>
                <w:szCs w:val="24"/>
                <w:color w:val="auto"/>
              </w:rPr>
            </w:pPr>
          </w:p>
        </w:tc>
        <w:tc>
          <w:tcPr>
            <w:tcW w:w="3160" w:type="dxa"/>
            <w:vAlign w:val="bottom"/>
          </w:tcPr>
          <w:p>
            <w:pPr>
              <w:jc w:val="right"/>
              <w:ind w:right="1542"/>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0"/>
          </w:cols>
          <w:pgMar w:left="1280" w:top="557" w:right="1280"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commercial mortgage loan portfolio is diversified by geographic region and specific collateral property type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54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5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
              <w:spacing w:after="0" w:line="13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9"/>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
              <w:spacing w:after="0" w:line="13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68"/>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1"/>
                <w:szCs w:val="11"/>
                <w:color w:val="auto"/>
              </w:rPr>
            </w:pPr>
          </w:p>
        </w:tc>
      </w:tr>
      <w:tr>
        <w:trPr>
          <w:trHeight w:val="170"/>
        </w:trPr>
        <w:tc>
          <w:tcPr>
            <w:tcW w:w="5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140" w:type="dxa"/>
            <w:vAlign w:val="bottom"/>
          </w:tcPr>
          <w:p>
            <w:pPr>
              <w:spacing w:after="0"/>
              <w:rPr>
                <w:sz w:val="14"/>
                <w:szCs w:val="14"/>
                <w:color w:val="auto"/>
              </w:rPr>
            </w:pPr>
          </w:p>
        </w:tc>
      </w:tr>
      <w:tr>
        <w:trPr>
          <w:trHeight w:val="136"/>
        </w:trPr>
        <w:tc>
          <w:tcPr>
            <w:tcW w:w="5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060" w:type="dxa"/>
            <w:vAlign w:val="bottom"/>
            <w:gridSpan w:val="3"/>
          </w:tcPr>
          <w:p>
            <w:pPr>
              <w:jc w:val="center"/>
              <w:ind w:right="444"/>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Geographic distribution</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New England</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342.9</w:t>
            </w:r>
          </w:p>
        </w:tc>
        <w:tc>
          <w:tcPr>
            <w:tcW w:w="1080" w:type="dxa"/>
            <w:vAlign w:val="bottom"/>
            <w:gridSpan w:val="3"/>
          </w:tcPr>
          <w:p>
            <w:pPr>
              <w:jc w:val="right"/>
              <w:ind w:right="6"/>
              <w:spacing w:after="0" w:line="180" w:lineRule="exact"/>
              <w:rPr>
                <w:sz w:val="20"/>
                <w:szCs w:val="20"/>
                <w:color w:val="auto"/>
              </w:rPr>
            </w:pPr>
            <w:r>
              <w:rPr>
                <w:rFonts w:ascii="Times New Roman" w:cs="Times New Roman" w:eastAsia="Times New Roman" w:hAnsi="Times New Roman"/>
                <w:sz w:val="16"/>
                <w:szCs w:val="16"/>
                <w:b w:val="1"/>
                <w:bCs w:val="1"/>
                <w:color w:val="auto"/>
              </w:rPr>
              <w:t>2.1 %</w:t>
            </w:r>
          </w:p>
        </w:tc>
        <w:tc>
          <w:tcPr>
            <w:tcW w:w="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347.2</w:t>
            </w:r>
          </w:p>
        </w:tc>
        <w:tc>
          <w:tcPr>
            <w:tcW w:w="98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2.0 %</w:t>
            </w: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Middle Atlantic</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4,567.9</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4,714.9</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East North Central</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457.3</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591.0</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West North Central</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358.1</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394.0</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South Atlantic</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2,978.0</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2,987.7</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East South Central</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415.7</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417.7</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West South Central</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1,306.9</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1,310.5</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Mountain</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972.9</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979.5</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Pacific</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4,756.4</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4,851.9</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International</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503.3</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478.3</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5"/>
                <w:szCs w:val="15"/>
                <w:color w:val="auto"/>
              </w:rPr>
            </w:pPr>
          </w:p>
        </w:tc>
      </w:tr>
      <w:tr>
        <w:trPr>
          <w:trHeight w:val="212"/>
        </w:trPr>
        <w:tc>
          <w:tcPr>
            <w:tcW w:w="56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16,659.4</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100.0</w:t>
            </w:r>
          </w:p>
        </w:tc>
        <w:tc>
          <w:tcPr>
            <w:tcW w:w="240" w:type="dxa"/>
            <w:vAlign w:val="bottom"/>
            <w:tcBorders>
              <w:bottom w:val="single" w:sz="8" w:color="CCEEFF"/>
            </w:tcBorders>
          </w:tcPr>
          <w:p>
            <w:pPr>
              <w:jc w:val="right"/>
              <w:ind w:right="6"/>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00" w:type="dxa"/>
            <w:vAlign w:val="bottom"/>
            <w:tcBorders>
              <w:top w:val="single" w:sz="8" w:color="auto"/>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17,072.</w:t>
            </w:r>
            <w:r>
              <w:rPr>
                <w:rFonts w:ascii="Times New Roman" w:cs="Times New Roman" w:eastAsia="Times New Roman" w:hAnsi="Times New Roman"/>
                <w:sz w:val="16"/>
                <w:szCs w:val="16"/>
                <w:u w:val="single" w:color="auto"/>
                <w:color w:val="auto"/>
              </w:rPr>
              <w:t>7</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r>
      <w:tr>
        <w:trPr>
          <w:trHeight w:val="156"/>
        </w:trPr>
        <w:tc>
          <w:tcPr>
            <w:tcW w:w="5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Property type distribution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Office</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3,060.1</w:t>
            </w:r>
          </w:p>
        </w:tc>
        <w:tc>
          <w:tcPr>
            <w:tcW w:w="1080" w:type="dxa"/>
            <w:vAlign w:val="bottom"/>
            <w:gridSpan w:val="3"/>
            <w:shd w:val="clear" w:color="auto" w:fill="CCEEFF"/>
          </w:tcPr>
          <w:p>
            <w:pPr>
              <w:jc w:val="right"/>
              <w:ind w:right="6"/>
              <w:spacing w:after="0" w:line="180" w:lineRule="exact"/>
              <w:rPr>
                <w:sz w:val="20"/>
                <w:szCs w:val="20"/>
                <w:color w:val="auto"/>
              </w:rPr>
            </w:pPr>
            <w:r>
              <w:rPr>
                <w:rFonts w:ascii="Times New Roman" w:cs="Times New Roman" w:eastAsia="Times New Roman" w:hAnsi="Times New Roman"/>
                <w:sz w:val="16"/>
                <w:szCs w:val="16"/>
                <w:b w:val="1"/>
                <w:bCs w:val="1"/>
                <w:color w:val="auto"/>
              </w:rPr>
              <w:t>18.4 %</w:t>
            </w:r>
          </w:p>
        </w:tc>
        <w:tc>
          <w:tcPr>
            <w:tcW w:w="1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3,182.9</w:t>
            </w:r>
          </w:p>
        </w:tc>
        <w:tc>
          <w:tcPr>
            <w:tcW w:w="9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18.5 %</w:t>
            </w: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1,445.5</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1,476.9</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4,130.7</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4,364.5</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Apartments</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7,171.8</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7,220.4</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42.3</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Hotel</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64.1</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65.0</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Mixed use/other</w:t>
            </w: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787.2</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763.0</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5"/>
                <w:szCs w:val="15"/>
                <w:color w:val="auto"/>
              </w:rPr>
            </w:pPr>
          </w:p>
        </w:tc>
      </w:tr>
      <w:tr>
        <w:trPr>
          <w:trHeight w:val="172"/>
        </w:trPr>
        <w:tc>
          <w:tcPr>
            <w:tcW w:w="568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16,659.4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100.0</w:t>
            </w:r>
          </w:p>
        </w:tc>
        <w:tc>
          <w:tcPr>
            <w:tcW w:w="240" w:type="dxa"/>
            <w:vAlign w:val="bottom"/>
            <w:tcBorders>
              <w:top w:val="single" w:sz="8" w:color="CCEEFF"/>
              <w:bottom w:val="single" w:sz="8" w:color="CCEEFF"/>
            </w:tcBorders>
            <w:shd w:val="clear" w:color="auto" w:fill="CCEEFF"/>
          </w:tcPr>
          <w:p>
            <w:pPr>
              <w:jc w:val="right"/>
              <w:ind w:right="6"/>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00" w:type="dxa"/>
            <w:vAlign w:val="bottom"/>
            <w:tcBorders>
              <w:top w:val="single" w:sz="8" w:color="auto"/>
              <w:bottom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17,072.</w:t>
            </w:r>
            <w:r>
              <w:rPr>
                <w:rFonts w:ascii="Times New Roman" w:cs="Times New Roman" w:eastAsia="Times New Roman" w:hAnsi="Times New Roman"/>
                <w:sz w:val="16"/>
                <w:szCs w:val="16"/>
                <w:u w:val="single" w:color="auto"/>
                <w:color w:val="auto"/>
              </w:rPr>
              <w:t>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Mortgage Loan Modifications</w:t>
      </w:r>
    </w:p>
    <w:p>
      <w:pPr>
        <w:spacing w:after="0" w:line="154"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Our commercial and residential mortgage loan portfolios include loans that have been modified. We assess loan modifications that are related to our borrowers experiencing financial difficulty in the form of principal forgiveness, an interest rate reduction, an other-than-insignificant payment delay or a term extension (or a combination thereof). Generally, an assessment of whether a borrower is experiencing financial difficulty is made on the date of the modification.</w:t>
      </w:r>
    </w:p>
    <w:p>
      <w:pPr>
        <w:spacing w:after="0" w:line="131"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The financing receivables valuation allowance utilizes an estimate of lifetime expected credit losses and it is recorded on each loan upon origination or acquisition. The starting point for the estimate of the valuation allowance is historical loss information, which includes losses from modification of receivables to borrowers experiencing financial difficulty. Because the effect of most modifications made to borrowers experiencing financial difficulty is already included in the valuation allowance because of the measurement methodologies used to estimate the allowance, a change to the valuation allowance is generally not recorded upon modification.</w:t>
      </w:r>
    </w:p>
    <w:p>
      <w:pPr>
        <w:spacing w:after="0" w:line="133"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Occasionally, a modification of a loan from a borrower experiencing financial difficulty is in the form of principal forgiveness. When principal forgiveness is provided as a modification, the amount of the principal forgiven is deemed uncollectible. Therefore, that portion of the loan is written off, which results in a reduction of the amortized cost and a corresponding adjustment to the valuation allowance.</w:t>
      </w:r>
    </w:p>
    <w:p>
      <w:pPr>
        <w:spacing w:after="0" w:line="128" w:lineRule="exact"/>
        <w:rPr>
          <w:sz w:val="20"/>
          <w:szCs w:val="20"/>
          <w:color w:val="auto"/>
        </w:rPr>
      </w:pPr>
    </w:p>
    <w:p>
      <w:pPr>
        <w:ind w:right="60" w:firstLine="576"/>
        <w:spacing w:after="0" w:line="331" w:lineRule="auto"/>
        <w:rPr>
          <w:sz w:val="20"/>
          <w:szCs w:val="20"/>
          <w:color w:val="auto"/>
        </w:rPr>
      </w:pPr>
      <w:r>
        <w:rPr>
          <w:rFonts w:ascii="Times New Roman" w:cs="Times New Roman" w:eastAsia="Times New Roman" w:hAnsi="Times New Roman"/>
          <w:sz w:val="14"/>
          <w:szCs w:val="14"/>
          <w:color w:val="auto"/>
        </w:rPr>
        <w:t>In some cases, we modify a loan by providing multiple types of concessions. Typically, one type of concession, such as a term extension, is granted initially. If the borrower continues to experience financial difficulty, another concession such as principal forgiveness may be granted.</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did not have any significant mortgage loans that were modified for both the three months ended March 31, 2025 and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31" w:name="page32"/>
    <w:bookmarkEnd w:id="3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Securities Posted as Collateral</w:t>
      </w:r>
    </w:p>
    <w:p>
      <w:pPr>
        <w:spacing w:after="0" w:line="190" w:lineRule="exact"/>
        <w:rPr>
          <w:sz w:val="20"/>
          <w:szCs w:val="20"/>
          <w:color w:val="auto"/>
        </w:rPr>
      </w:pPr>
    </w:p>
    <w:p>
      <w:pPr>
        <w:ind w:left="2" w:right="40" w:firstLine="576"/>
        <w:spacing w:after="0" w:line="238" w:lineRule="auto"/>
        <w:rPr>
          <w:sz w:val="20"/>
          <w:szCs w:val="20"/>
          <w:color w:val="auto"/>
        </w:rPr>
      </w:pPr>
      <w:r>
        <w:rPr>
          <w:rFonts w:ascii="Times New Roman" w:cs="Times New Roman" w:eastAsia="Times New Roman" w:hAnsi="Times New Roman"/>
          <w:sz w:val="16"/>
          <w:szCs w:val="16"/>
          <w:color w:val="auto"/>
        </w:rPr>
        <w:t>As of March 31, 2025 and December 31, 2024, we posted $6,856.7 million and $ 6,748.8 million, respectively, in commercial mortgage loans and residential first lien mortgages to satisfy collateral requirements associated with our obligation under funding agreements with Federal Home Loan Bank of Des Moines (“FHLB Des Moines”). In addition, as of March 31, 2025 and December 31, 2024, we posted $3,772.9 million and $ 3,636.7 million, respectively, in fixed maturities, available-for-sale and trading securities to satisfy collateral requirements primarily associated with a reinsurance arrangement, our derivative credit support annex (collateral) agreements, Futures Commission Merchant (“FCM”) agreements, a lending arrangement and our obligation under funding agreements with FHLB Des Moines. Since we did not relinquish ownership rights on these instruments, they are reported as mortgage loans, fixed maturities, available-for-sale and fixed maturities, trading, respectively, on our consolidated statements of financial position. Of the securities posted as collateral, as of March 31, 2025 and December 31, 2024, $364.9 million and $206.0 million, respectively, could be sold or repledged by the secured party.</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Balance Sheet Offsetting</w:t>
      </w:r>
    </w:p>
    <w:p>
      <w:pPr>
        <w:spacing w:after="0" w:line="19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Financial assets subject to master netting agreements or similar agreements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Gross amounts not offset in the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consolidated statements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of financial position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9"/>
              </w:rPr>
              <w:t>of recognized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assets (1)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8"/>
              </w:rPr>
              <w:t>instruments (2)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8"/>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00" w:type="dxa"/>
            <w:vAlign w:val="bottom"/>
            <w:gridSpan w:val="3"/>
          </w:tcPr>
          <w:p>
            <w:pPr>
              <w:jc w:val="right"/>
              <w:ind w:right="685"/>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assets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610.8</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(239.5)</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(361.2)</w:t>
            </w:r>
          </w:p>
        </w:tc>
        <w:tc>
          <w:tcPr>
            <w:tcW w:w="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Reverse repurchase agreements</w:t>
            </w: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114.5</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(114.5)</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CCEEFF"/>
            </w:tcBorders>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725.3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(239.5)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(475.7)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10.1</w:t>
            </w:r>
          </w:p>
        </w:tc>
        <w:tc>
          <w:tcPr>
            <w:tcW w:w="0" w:type="dxa"/>
            <w:vAlign w:val="bottom"/>
          </w:tcPr>
          <w:p>
            <w:pPr>
              <w:spacing w:after="0"/>
              <w:rPr>
                <w:sz w:val="1"/>
                <w:szCs w:val="1"/>
                <w:color w:val="auto"/>
              </w:rPr>
            </w:pPr>
          </w:p>
        </w:tc>
      </w:tr>
      <w:tr>
        <w:trPr>
          <w:trHeight w:val="156"/>
        </w:trPr>
        <w:tc>
          <w:tcPr>
            <w:tcW w:w="47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assets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648.2</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(254.8)</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(392.1)</w:t>
            </w:r>
          </w:p>
        </w:tc>
        <w:tc>
          <w:tcPr>
            <w:tcW w:w="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Reverse repurchase agreements</w:t>
            </w: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120.4</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(120.4)</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47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768.6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(254.8)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(512.5)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4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hanging="282"/>
        <w:spacing w:after="0" w:line="242" w:lineRule="auto"/>
        <w:tabs>
          <w:tab w:leader="none" w:pos="28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amount of recognized derivative and reverse repurchase agreement assets are reported with other investments and cash and cash equivalents, respectively, on the consolidated statements of financial position. The gross amounts of derivative and reverse repurchase agreement assets are not netted against offsetting liabilities for presentation on the consolidated statements of financial position.</w:t>
      </w:r>
    </w:p>
    <w:p>
      <w:pPr>
        <w:spacing w:after="0" w:line="1" w:lineRule="exact"/>
        <w:rPr>
          <w:rFonts w:ascii="Times New Roman" w:cs="Times New Roman" w:eastAsia="Times New Roman" w:hAnsi="Times New Roman"/>
          <w:sz w:val="16"/>
          <w:szCs w:val="16"/>
          <w:color w:val="auto"/>
        </w:rPr>
      </w:pPr>
    </w:p>
    <w:p>
      <w:pPr>
        <w:ind w:left="282" w:right="20" w:hanging="282"/>
        <w:spacing w:after="0" w:line="238" w:lineRule="auto"/>
        <w:tabs>
          <w:tab w:leader="none" w:pos="28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of offsetting derivative liabilities that are subject to an enforceable master netting agreement or similar agreement that are not netted against the gross derivative assets for presentation on the consolidated statements of financial position.</w:t>
      </w:r>
    </w:p>
    <w:p>
      <w:pPr>
        <w:spacing w:after="0" w:line="36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32" w:name="page33"/>
    <w:bookmarkEnd w:id="3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Financial liabilities subject to master netting agreements or similar agreements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Gross amounts not offset in the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consolidated statements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3"/>
                <w:szCs w:val="13"/>
                <w:b w:val="1"/>
                <w:bCs w:val="1"/>
                <w:color w:val="auto"/>
              </w:rPr>
              <w:t>of financial position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of recognized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liabilities (1)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w w:val="98"/>
              </w:rPr>
              <w:t>instruments (2)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pledged</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00" w:type="dxa"/>
            <w:vAlign w:val="bottom"/>
            <w:gridSpan w:val="3"/>
          </w:tcPr>
          <w:p>
            <w:pPr>
              <w:jc w:val="right"/>
              <w:ind w:right="688"/>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437.3</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(239.5)</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(195.8)</w:t>
            </w:r>
          </w:p>
        </w:tc>
        <w:tc>
          <w:tcPr>
            <w:tcW w:w="3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w:t>
            </w:r>
          </w:p>
        </w:tc>
        <w:tc>
          <w:tcPr>
            <w:tcW w:w="0" w:type="dxa"/>
            <w:vAlign w:val="bottom"/>
          </w:tcPr>
          <w:p>
            <w:pPr>
              <w:spacing w:after="0"/>
              <w:rPr>
                <w:sz w:val="1"/>
                <w:szCs w:val="1"/>
                <w:color w:val="auto"/>
              </w:rPr>
            </w:pPr>
          </w:p>
        </w:tc>
      </w:tr>
      <w:tr>
        <w:trPr>
          <w:trHeight w:val="156"/>
        </w:trPr>
        <w:tc>
          <w:tcPr>
            <w:tcW w:w="47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506.0</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w w:val="94"/>
              </w:rPr>
              <w:t>(254.8)</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(239.4)</w:t>
            </w:r>
          </w:p>
        </w:tc>
        <w:tc>
          <w:tcPr>
            <w:tcW w:w="3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4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80" w:hanging="282"/>
        <w:spacing w:after="0"/>
        <w:tabs>
          <w:tab w:leader="none" w:pos="28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amount of recognized derivative liabilities is reported with other liabilities on the consolidated statements of financial position. The above excludes derivative liabilities, which are primarily embedded derivatives that are not subject to master netting agreements or similar agreements. The gross amounts of derivative liabilities are not netted against offsetting assets for presentation on the consolidated statements of financial position.</w:t>
      </w:r>
    </w:p>
    <w:p>
      <w:pPr>
        <w:spacing w:after="0" w:line="2" w:lineRule="exact"/>
        <w:rPr>
          <w:rFonts w:ascii="Times New Roman" w:cs="Times New Roman" w:eastAsia="Times New Roman" w:hAnsi="Times New Roman"/>
          <w:sz w:val="16"/>
          <w:szCs w:val="16"/>
          <w:color w:val="auto"/>
        </w:rPr>
      </w:pPr>
    </w:p>
    <w:p>
      <w:pPr>
        <w:ind w:left="282" w:right="220" w:hanging="282"/>
        <w:spacing w:after="0" w:line="238" w:lineRule="auto"/>
        <w:tabs>
          <w:tab w:leader="none" w:pos="28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of offsetting derivative assets that are subject to an enforceable master netting agreement or similar agreement that are not netted against the gross derivative liabilities for presentation on the consolidated statements of financial position.</w:t>
      </w:r>
    </w:p>
    <w:p>
      <w:pPr>
        <w:spacing w:after="0" w:line="169" w:lineRule="exact"/>
        <w:rPr>
          <w:sz w:val="20"/>
          <w:szCs w:val="20"/>
          <w:color w:val="auto"/>
        </w:rPr>
      </w:pPr>
    </w:p>
    <w:p>
      <w:pPr>
        <w:ind w:left="2" w:right="120" w:firstLine="576"/>
        <w:spacing w:after="0" w:line="241" w:lineRule="auto"/>
        <w:rPr>
          <w:sz w:val="20"/>
          <w:szCs w:val="20"/>
          <w:color w:val="auto"/>
        </w:rPr>
      </w:pPr>
      <w:r>
        <w:rPr>
          <w:rFonts w:ascii="Times New Roman" w:cs="Times New Roman" w:eastAsia="Times New Roman" w:hAnsi="Times New Roman"/>
          <w:sz w:val="16"/>
          <w:szCs w:val="16"/>
          <w:color w:val="auto"/>
        </w:rPr>
        <w:t>The financial instruments that are subject to master netting agreements or similar agreements include right of setoff provisions. Derivative instruments include provisions to setoff positions covered under the agreements with the same counterparties and provisions to setoff positions outside of the agreements with the same counterparties in the event of default by one of the parties. Derivative instruments also include collateral or variation margin provisions, which are generally settled daily with each counterparty. See Note 5, Derivative Financial Instruments, for further details.</w:t>
      </w:r>
    </w:p>
    <w:p>
      <w:pPr>
        <w:spacing w:after="0" w:line="169" w:lineRule="exact"/>
        <w:rPr>
          <w:sz w:val="20"/>
          <w:szCs w:val="20"/>
          <w:color w:val="auto"/>
        </w:rPr>
      </w:pPr>
    </w:p>
    <w:p>
      <w:pPr>
        <w:ind w:left="2" w:right="60" w:firstLine="576"/>
        <w:spacing w:after="0" w:line="238" w:lineRule="auto"/>
        <w:rPr>
          <w:sz w:val="20"/>
          <w:szCs w:val="20"/>
          <w:color w:val="auto"/>
        </w:rPr>
      </w:pPr>
      <w:r>
        <w:rPr>
          <w:rFonts w:ascii="Times New Roman" w:cs="Times New Roman" w:eastAsia="Times New Roman" w:hAnsi="Times New Roman"/>
          <w:sz w:val="16"/>
          <w:szCs w:val="16"/>
          <w:color w:val="auto"/>
        </w:rPr>
        <w:t>Repurchase and reverse repurchase agreements include provisions to setoff other repurchase and reverse repurchase balances with the same counterparty. Repurchase and reverse repurchase agreements also include collateral provisions with the counterparties. For reverse repurchase agreements we require the counterparties to pledge collateral with a value greater than the amount of cash transferred. We have the right but do not sell or repledge collateral received in reverse repurchase agreements. Repurchase agreements are structured as secured borrowings for all counterparties. We pledge fixed maturities available-for-sale, which the counterparties have the right to sell or repledge. Interest incurred on repurchase agreements is reported as part of operating expenses on the consolidated statements of operations. Net proceeds related to repurchase agreements are reported as a component of financing activities on the consolidated statements of cash flows. We did not have any outstanding repurchase agreements as of March 31, 2025 and December 31, 2024.</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5. Derivative Financial Instruments</w:t>
      </w:r>
    </w:p>
    <w:p>
      <w:pPr>
        <w:spacing w:after="0" w:line="190" w:lineRule="exact"/>
        <w:rPr>
          <w:sz w:val="20"/>
          <w:szCs w:val="20"/>
          <w:color w:val="auto"/>
        </w:rPr>
      </w:pPr>
    </w:p>
    <w:p>
      <w:pPr>
        <w:ind w:left="2" w:right="60" w:firstLine="576"/>
        <w:spacing w:after="0" w:line="247" w:lineRule="auto"/>
        <w:rPr>
          <w:sz w:val="20"/>
          <w:szCs w:val="20"/>
          <w:color w:val="auto"/>
        </w:rPr>
      </w:pPr>
      <w:r>
        <w:rPr>
          <w:rFonts w:ascii="Times New Roman" w:cs="Times New Roman" w:eastAsia="Times New Roman" w:hAnsi="Times New Roman"/>
          <w:sz w:val="16"/>
          <w:szCs w:val="16"/>
          <w:color w:val="auto"/>
        </w:rPr>
        <w:t>Derivatives are generally used to hedge or reduce exposure to market risks associated with assets held or expected to be purchased or sold and liabilities incurred or expected to be incurred. Derivatives are used to change the characteristics of our asset/liability mix consistent with our risk management activities. Derivatives are also used in asset replication and income generation strategies.</w:t>
      </w:r>
    </w:p>
    <w:p>
      <w:pPr>
        <w:spacing w:after="0" w:line="1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Types of Derivative Instruments</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Interest Rate Contracts</w:t>
      </w:r>
    </w:p>
    <w:p>
      <w:pPr>
        <w:spacing w:after="0" w:line="156" w:lineRule="exact"/>
        <w:rPr>
          <w:sz w:val="20"/>
          <w:szCs w:val="20"/>
          <w:color w:val="auto"/>
        </w:rPr>
      </w:pPr>
    </w:p>
    <w:p>
      <w:pPr>
        <w:ind w:left="2" w:right="100" w:firstLine="576"/>
        <w:spacing w:after="0" w:line="243" w:lineRule="auto"/>
        <w:rPr>
          <w:sz w:val="20"/>
          <w:szCs w:val="20"/>
          <w:color w:val="auto"/>
        </w:rPr>
      </w:pPr>
      <w:r>
        <w:rPr>
          <w:rFonts w:ascii="Times New Roman" w:cs="Times New Roman" w:eastAsia="Times New Roman" w:hAnsi="Times New Roman"/>
          <w:sz w:val="16"/>
          <w:szCs w:val="16"/>
          <w:color w:val="auto"/>
        </w:rPr>
        <w:t>Interest rate risk is the risk we will incur economic losses due to adverse changes in interest rates. Sources of interest rate risk include the difference between the maturity and interest rate changes of assets with the liabilities they support, timing differences between the pricing of liabilities and the purchase or procurement of assets and changing cash flow profiles from original projections due to prepayment options embedded within asset and liability contracts. We use various derivatives to manage our exposure to fluctuations in interest rates.</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firstLine="576"/>
        <w:spacing w:after="0" w:line="276" w:lineRule="auto"/>
        <w:rPr>
          <w:sz w:val="20"/>
          <w:szCs w:val="20"/>
          <w:color w:val="auto"/>
        </w:rPr>
      </w:pPr>
      <w:r>
        <w:rPr>
          <w:rFonts w:ascii="Times New Roman" w:cs="Times New Roman" w:eastAsia="Times New Roman" w:hAnsi="Times New Roman"/>
          <w:sz w:val="14"/>
          <w:szCs w:val="14"/>
          <w:color w:val="auto"/>
        </w:rPr>
        <w:t>Interest rate swaps are contracts in which we agree with other parties to exchange, at specified intervals, the difference between fixed rate and/or floating rate interest amounts based upon designated market rates or rate indices and an agreed- upon notional principal amount. Generally, no cash is exchanged at the outset of the contract and no principal payments are made by any party. Cash is paid or received based on the terms of the swap. We use interest rate swaps primarily to more closely match the interest rate characteristics of assets and liabilities and to mitigate the risks arising from timing mismatches between assets and liabilities (including duration mismatches). We also use interest rate swaps to hedge against changes in the value of assets we anticipate acquiring and other anticipated transactions and commitments; to hedge against cash variability related to forecasted transactions and to hedge against changes in the value of the guaranteed minimum withdrawal benefit (“GMWB”) MRB. The GMWB rider on our variable annuity products provides for guaranteed minimum withdrawal benefits regardless of the actual performance of various equity and/or fixed income funds available with the product. Additionally, we utilize interest rate swaps to replicate the returns of floating rate assets.</w:t>
      </w:r>
    </w:p>
    <w:p>
      <w:pPr>
        <w:spacing w:after="0" w:line="146"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6"/>
          <w:szCs w:val="16"/>
          <w:color w:val="auto"/>
        </w:rPr>
        <w:t>Interest rate options, including interest rate caps and interest rate floors, which can be combined to form interest rate collars, are contracts that entitle the purchaser to pay or receive the amounts, if any, by which a specified market rate exceeds a cap strike interest rate, or falls below a floor strike interest rate, respectively, at specified dates. We use interest rate options to manage prepayment risks in our assets and minimum guaranteed interest rates and lapse risks in our liabilities.</w:t>
      </w:r>
    </w:p>
    <w:p>
      <w:pPr>
        <w:spacing w:after="0" w:line="167" w:lineRule="exact"/>
        <w:rPr>
          <w:sz w:val="20"/>
          <w:szCs w:val="20"/>
          <w:color w:val="auto"/>
        </w:rPr>
      </w:pPr>
    </w:p>
    <w:p>
      <w:pPr>
        <w:ind w:right="80" w:firstLine="576"/>
        <w:spacing w:after="0" w:line="331" w:lineRule="auto"/>
        <w:rPr>
          <w:sz w:val="20"/>
          <w:szCs w:val="20"/>
          <w:color w:val="auto"/>
        </w:rPr>
      </w:pPr>
      <w:r>
        <w:rPr>
          <w:rFonts w:ascii="Times New Roman" w:cs="Times New Roman" w:eastAsia="Times New Roman" w:hAnsi="Times New Roman"/>
          <w:sz w:val="14"/>
          <w:szCs w:val="14"/>
          <w:color w:val="auto"/>
        </w:rPr>
        <w:t>A swaption is an option to enter into an interest rate swap at a future date. We have purchased swaptions to hedge interest rate exposure for certain assets and liabilities. Swaptions not only hedge against the downside risk, but also allow us to take advantage of any upside benefits.</w:t>
      </w:r>
    </w:p>
    <w:p>
      <w:pPr>
        <w:spacing w:after="0" w:line="108"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In exchange-traded futures transactions, we agree to purchase or sell a specified number of contracts, the values of which are determined by the values of designated classes of securities, and to post variation margin on a daily basis in an amount equal to the difference in the daily market values of those contracts. We enter into exchange-traded futures with regulated futures commissions merchants who are members of a trading exchange. We use exchange-traded interest rate futures to hedge against changes in value of the GMWB MRB in addition to the economic exposure to certain fund strategies.</w:t>
      </w:r>
    </w:p>
    <w:p>
      <w:pPr>
        <w:spacing w:after="0" w:line="169" w:lineRule="exact"/>
        <w:rPr>
          <w:sz w:val="20"/>
          <w:szCs w:val="20"/>
          <w:color w:val="auto"/>
        </w:rPr>
      </w:pPr>
    </w:p>
    <w:p>
      <w:pPr>
        <w:ind w:right="80" w:firstLine="576"/>
        <w:spacing w:after="0" w:line="238" w:lineRule="auto"/>
        <w:rPr>
          <w:sz w:val="20"/>
          <w:szCs w:val="20"/>
          <w:color w:val="auto"/>
        </w:rPr>
      </w:pPr>
      <w:r>
        <w:rPr>
          <w:rFonts w:ascii="Times New Roman" w:cs="Times New Roman" w:eastAsia="Times New Roman" w:hAnsi="Times New Roman"/>
          <w:sz w:val="16"/>
          <w:szCs w:val="16"/>
          <w:color w:val="auto"/>
        </w:rPr>
        <w:t>Interest rate forwards, including to be announced (“TBA”) forwards, bond forwards and treasury forwards, are contracts to take delivery of a fixed income security at a specified price at a future date. TBA forwards deliver government guaranteed mortgage-backed securities. Bond forwards and treasury forwards deliver corporate or municipal and U.S. Treasury bonds, respectively. At inception of the TBA and certain treasury forward contracts we do not intend to take physical delivery. We intend to take delivery of the bond forwards referencing corporate, municipal and certain treasury bonds. We have used TBA forwards to gain exposure to the investment risk and return of agency mortgage-backed security pools in order to reduce asset and liability duration mismatch. Treasury forwards are used to hedge against changes in the value of the GMWB MRB and to more closely match the interest rate characteristics of assets and liabilities. Bond forwards are used to gain leverage through synthetic exposure during the forward period and fix the purchase price of a bond at a specified date in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Contracts</w:t>
      </w:r>
    </w:p>
    <w:p>
      <w:pPr>
        <w:spacing w:after="0" w:line="192" w:lineRule="exact"/>
        <w:rPr>
          <w:sz w:val="20"/>
          <w:szCs w:val="20"/>
          <w:color w:val="auto"/>
        </w:rPr>
      </w:pPr>
    </w:p>
    <w:p>
      <w:pPr>
        <w:ind w:right="100" w:firstLine="576"/>
        <w:spacing w:after="0" w:line="289" w:lineRule="auto"/>
        <w:rPr>
          <w:sz w:val="20"/>
          <w:szCs w:val="20"/>
          <w:color w:val="auto"/>
        </w:rPr>
      </w:pPr>
      <w:r>
        <w:rPr>
          <w:rFonts w:ascii="Times New Roman" w:cs="Times New Roman" w:eastAsia="Times New Roman" w:hAnsi="Times New Roman"/>
          <w:sz w:val="14"/>
          <w:szCs w:val="14"/>
          <w:color w:val="auto"/>
        </w:rPr>
        <w:t>Foreign currency risk is the risk we will incur economic losses due to adverse fluctuations in foreign currency exchange rates. This risk arises from foreign currency -denominated funding agreements issued to nonqualified institutional investors in the international market, foreign currency-denominated fixed maturity and equity securities, and our international operations, including expected cash flows and potential acquisition and divestiture activity. We use various derivatives to manage our exposure to fluctuations in foreign currency exchange rates.</w:t>
      </w:r>
    </w:p>
    <w:p>
      <w:pPr>
        <w:spacing w:after="0" w:line="137" w:lineRule="exact"/>
        <w:rPr>
          <w:sz w:val="20"/>
          <w:szCs w:val="20"/>
          <w:color w:val="auto"/>
        </w:rPr>
      </w:pPr>
    </w:p>
    <w:p>
      <w:pPr>
        <w:ind w:right="80" w:firstLine="576"/>
        <w:spacing w:after="0" w:line="280" w:lineRule="auto"/>
        <w:rPr>
          <w:sz w:val="20"/>
          <w:szCs w:val="20"/>
          <w:color w:val="auto"/>
        </w:rPr>
      </w:pPr>
      <w:r>
        <w:rPr>
          <w:rFonts w:ascii="Times New Roman" w:cs="Times New Roman" w:eastAsia="Times New Roman" w:hAnsi="Times New Roman"/>
          <w:sz w:val="14"/>
          <w:szCs w:val="14"/>
          <w:color w:val="auto"/>
        </w:rPr>
        <w:t>Currency swaps are contracts in which we agree with other parties to exchange, at specified intervals, a series of principal and interest payments in one currency for that of another currency. Generally, the principal amount of each currency is exchanged at the beginning and termination of the currency swap by each party. The interest payments are primarily fixed-to-fixed rate; however, they may also be fixed-to-floating rate or floating-to-fixed rate. These transactions are entered into pursuant to master agreements that provide for a single net payment to be made by one counterparty for payments made in the same currency at each due date. We use currency swaps to reduce market risks from changes in currency exchange rates with respect to investments or liabilities denominated in foreign currencies that we either hold or intend to acquire or sell.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Currency forwards are contracts in which we agree with other parties to deliver or receive a specified amount of an identified currency at a specified future date. Typically, the price is agreed upon at the time of the contract and payment for such a contract is made at the specified future date. We use currency forwards to reduce market risks from changes in currency exchange rates with respect to investments or liabilities denominated in foreign currencies that we either hold or intend to acquire or sell.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Contracts</w:t>
      </w:r>
    </w:p>
    <w:p>
      <w:pPr>
        <w:spacing w:after="0" w:line="192" w:lineRule="exact"/>
        <w:rPr>
          <w:sz w:val="20"/>
          <w:szCs w:val="20"/>
          <w:color w:val="auto"/>
        </w:rPr>
      </w:pPr>
    </w:p>
    <w:p>
      <w:pPr>
        <w:jc w:val="both"/>
        <w:ind w:right="100" w:firstLine="576"/>
        <w:spacing w:after="0" w:line="247" w:lineRule="auto"/>
        <w:rPr>
          <w:sz w:val="20"/>
          <w:szCs w:val="20"/>
          <w:color w:val="auto"/>
        </w:rPr>
      </w:pPr>
      <w:r>
        <w:rPr>
          <w:rFonts w:ascii="Times New Roman" w:cs="Times New Roman" w:eastAsia="Times New Roman" w:hAnsi="Times New Roman"/>
          <w:sz w:val="16"/>
          <w:szCs w:val="16"/>
          <w:color w:val="auto"/>
        </w:rPr>
        <w:t>Equity risk is the risk that we will incur economic losses due to adverse fluctuations in common stock prices. We use various derivatives to manage our exposure to equity risk, which arises from products in which the return or interest we credit is tied to an external equity index as well as products subject to minimum contractual guarantees.</w:t>
      </w:r>
    </w:p>
    <w:p>
      <w:pPr>
        <w:spacing w:after="0" w:line="164" w:lineRule="exact"/>
        <w:rPr>
          <w:sz w:val="20"/>
          <w:szCs w:val="20"/>
          <w:color w:val="auto"/>
        </w:rPr>
      </w:pPr>
    </w:p>
    <w:p>
      <w:pPr>
        <w:ind w:right="220" w:firstLine="576"/>
        <w:spacing w:after="0" w:line="259" w:lineRule="auto"/>
        <w:rPr>
          <w:sz w:val="20"/>
          <w:szCs w:val="20"/>
          <w:color w:val="auto"/>
        </w:rPr>
      </w:pPr>
      <w:r>
        <w:rPr>
          <w:rFonts w:ascii="Times New Roman" w:cs="Times New Roman" w:eastAsia="Times New Roman" w:hAnsi="Times New Roman"/>
          <w:sz w:val="16"/>
          <w:szCs w:val="16"/>
          <w:color w:val="auto"/>
        </w:rPr>
        <w:t>We purchase equity call spreads (“option collars”) to hedge the equity participation rates promised to contractholders in conjunction with our fixed deferred annuity and universal life products that credit interest based on changes in an external equity index.</w:t>
      </w:r>
    </w:p>
    <w:p>
      <w:pPr>
        <w:spacing w:after="0" w:line="155"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We use equity put options to hedge against changes in the value of the GMWB MRB related to the GMWB rider on our variable annuity products. We also use equity options to hedge returns credited to policyholder accounts related to our RILA products. The premium associated with certain options is paid quarterly over the life of the option contract.</w:t>
      </w:r>
    </w:p>
    <w:p>
      <w:pPr>
        <w:spacing w:after="0" w:line="164" w:lineRule="exact"/>
        <w:rPr>
          <w:sz w:val="20"/>
          <w:szCs w:val="20"/>
          <w:color w:val="auto"/>
        </w:rPr>
      </w:pPr>
    </w:p>
    <w:p>
      <w:pPr>
        <w:ind w:right="400" w:firstLine="576"/>
        <w:spacing w:after="0" w:line="331" w:lineRule="auto"/>
        <w:rPr>
          <w:sz w:val="20"/>
          <w:szCs w:val="20"/>
          <w:color w:val="auto"/>
        </w:rPr>
      </w:pPr>
      <w:r>
        <w:rPr>
          <w:rFonts w:ascii="Times New Roman" w:cs="Times New Roman" w:eastAsia="Times New Roman" w:hAnsi="Times New Roman"/>
          <w:sz w:val="14"/>
          <w:szCs w:val="14"/>
          <w:color w:val="auto"/>
        </w:rPr>
        <w:t>We use exchange-traded equity futures to hedge against changes in the value of the GMWB MRB and returns credited to policyholder accounts related to our RILA products. We have used equity futures to hedge the economic exposure to certain fund closures in process.</w:t>
      </w:r>
    </w:p>
    <w:p>
      <w:pPr>
        <w:spacing w:after="0" w:line="108" w:lineRule="exact"/>
        <w:rPr>
          <w:sz w:val="20"/>
          <w:szCs w:val="20"/>
          <w:color w:val="auto"/>
        </w:rPr>
      </w:pPr>
    </w:p>
    <w:p>
      <w:pPr>
        <w:ind w:right="60" w:firstLine="576"/>
        <w:spacing w:after="0" w:line="331" w:lineRule="auto"/>
        <w:rPr>
          <w:sz w:val="20"/>
          <w:szCs w:val="20"/>
          <w:color w:val="auto"/>
        </w:rPr>
      </w:pPr>
      <w:r>
        <w:rPr>
          <w:rFonts w:ascii="Times New Roman" w:cs="Times New Roman" w:eastAsia="Times New Roman" w:hAnsi="Times New Roman"/>
          <w:sz w:val="14"/>
          <w:szCs w:val="14"/>
          <w:color w:val="auto"/>
        </w:rPr>
        <w:t>We use equity total return swaps to hedge for income enhancement. Total return swaps are contracts in which we agree with other parties to periodically exchange the total return on a referenced security for an agreed-upon reference rate or spread based on specified notional amounts.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Contracts</w:t>
      </w:r>
    </w:p>
    <w:p>
      <w:pPr>
        <w:spacing w:after="0" w:line="192"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6"/>
          <w:szCs w:val="16"/>
          <w:color w:val="auto"/>
        </w:rPr>
        <w:t>Credit risk relates to the uncertainty associated with the continued ability of a given obligor to make timely payments of principal and interest. We use credit default swaps to enhance the return on our investment portfolio by providing comparable exposure to fixed income securities that might not be available in the primary market. They are also used to hedge credit exposures in our investment portfolio. Credit derivatives are used to sell or buy credit protection on an identified name or names on an unfunded or synthetic basis in return for receiving or paying a quarterly premium. The premium generally corresponds to a referenced name’s credit spread at the time the agreement is executed.</w:t>
      </w:r>
    </w:p>
    <w:p>
      <w:pPr>
        <w:spacing w:after="0" w:line="169"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We also use credit total return swaps for income enhancement. In the case of a predefined credit event, total return swaps require the total return receiver to pay for the decline in the price of the referenced security.</w:t>
      </w:r>
    </w:p>
    <w:p>
      <w:pPr>
        <w:spacing w:after="0" w:line="155"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In cases where we sell protection, we also buy a quality cash bond to match against the swap, thereby entering into a synthetic transaction replicating a cash security. When selling protection, if there is an event of default by the referenced name, as defined by the agreement, we are obligated to pay the counterparty the referenced amount of the contract and receive in return the referenced security in a principal amount equal to the notional value of the swap.</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7" w:right="1260"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Contracts</w:t>
      </w:r>
    </w:p>
    <w:p>
      <w:pPr>
        <w:spacing w:after="0" w:line="188"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Embedded Derivatives. </w:t>
      </w:r>
      <w:r>
        <w:rPr>
          <w:rFonts w:ascii="Times New Roman" w:cs="Times New Roman" w:eastAsia="Times New Roman" w:hAnsi="Times New Roman"/>
          <w:sz w:val="16"/>
          <w:szCs w:val="16"/>
          <w:color w:val="auto"/>
        </w:rPr>
        <w:t>We purchase or issue certain financial instruments or products that contain a derivative instrument that is embedded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financial instrument or product. When it is determined that the embedded derivative possesses economic characteristics that are not clearly or closely related to the economic characteristics of the host contract and a separate instrument with the same terms would qualify as a derivative instrument, the embedded derivative is bifurcated from the host instrument for measurement purposes. The embedded derivative, which is reported with the host instrument in the consolidated statements of financial position, is carried at fair value.</w:t>
      </w:r>
    </w:p>
    <w:p>
      <w:pPr>
        <w:spacing w:after="0" w:line="169"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We offer group annuity contracts that have guaranteed separate accounts as an investment option. We have fixed deferred annuities, RILAs and universal life products that credit interest based on changes in an external equity index.</w:t>
      </w:r>
    </w:p>
    <w:p>
      <w:pPr>
        <w:spacing w:after="0" w:line="155"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We have a funds withheld payable associated with coinsurance with funds withheld reinsurance agreements. The funds withheld payable has an embedded total return swap as the total return of the funds withheld assets are transferred to the reinsurer, which is not based on our own creditworthiness.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Exposure</w:t>
      </w:r>
    </w:p>
    <w:p>
      <w:pPr>
        <w:spacing w:after="0" w:line="190" w:lineRule="exact"/>
        <w:rPr>
          <w:sz w:val="20"/>
          <w:szCs w:val="20"/>
          <w:color w:val="auto"/>
        </w:rPr>
      </w:pPr>
    </w:p>
    <w:p>
      <w:pPr>
        <w:ind w:right="180" w:firstLine="576"/>
        <w:spacing w:after="0" w:line="241" w:lineRule="auto"/>
        <w:rPr>
          <w:sz w:val="20"/>
          <w:szCs w:val="20"/>
          <w:color w:val="auto"/>
        </w:rPr>
      </w:pPr>
      <w:r>
        <w:rPr>
          <w:rFonts w:ascii="Times New Roman" w:cs="Times New Roman" w:eastAsia="Times New Roman" w:hAnsi="Times New Roman"/>
          <w:sz w:val="16"/>
          <w:szCs w:val="16"/>
          <w:color w:val="auto"/>
        </w:rPr>
        <w:t>Our risk of loss is typically limited to the fair value of our derivative instruments and not to the notional or contractual amounts of these derivatives. We are also exposed to credit losses in the event of nonperformance of the counterparties. Our current credit exposure is limited to the value of derivatives that have become favorable to us. This credit risk is minimized by purchasing such agreements from financial institutions with high credit ratings and by establishing and monitoring exposure limits. We also utilize various credit enhancements, including collateral and credit triggers to reduce the credit exposure to our derivative instruments.</w:t>
      </w:r>
    </w:p>
    <w:p>
      <w:pPr>
        <w:spacing w:after="0" w:line="169"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Derivatives may be exchange-traded or they may be privately negotiated contracts, which are usually referred to as over-the -counter (“OTC”) derivatives. Certain of our OTC derivatives are cleared and settled through central clearing counterparties (“OTC cleared”), while others are bilateral contracts between two counterparties (“bilateral OTC”). Our derivative transactions are generally documented under International Swaps and Derivatives Association, Inc. (“ISDA”) Master Agreements. Management believes that such agreements provide for legally enforceable set-off and close- out netting of exposures to specific counterparties. Under such agreements, in connection with an early termination of a transaction, we are permitted to set off our receivable from a counterparty against our payables to the same counterparty arising out of all included transactions. For reporting purposes, we do not offset fair value amounts of bilateral OTC derivatives for the right to reclaim cash collateral or the obligation to return cash collateral against fair value amounts recognized for derivative instruments executed with the same counterparties under master netting agreements. OTC cleared derivatives have variation margin that is legally characterized as settlement of the derivative exposure, which reduces their fair value in the consolidated statements of financial position.</w:t>
      </w:r>
    </w:p>
    <w:p>
      <w:pPr>
        <w:spacing w:after="0" w:line="176"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We posted $ 539.4 million and $533.7 million in cash and securities under collateral arrangements as of March 31, 2025 and December 31, 2024, respectively, to satisfy collateral and initial margin requirements associated with our derivative credit support agreements and FCM agreements.</w:t>
      </w:r>
    </w:p>
    <w:p>
      <w:pPr>
        <w:spacing w:after="0" w:line="164" w:lineRule="exact"/>
        <w:rPr>
          <w:sz w:val="20"/>
          <w:szCs w:val="20"/>
          <w:color w:val="auto"/>
        </w:rPr>
      </w:pPr>
    </w:p>
    <w:p>
      <w:pPr>
        <w:ind w:right="20" w:firstLine="576"/>
        <w:spacing w:after="0" w:line="237" w:lineRule="auto"/>
        <w:rPr>
          <w:sz w:val="20"/>
          <w:szCs w:val="20"/>
          <w:color w:val="auto"/>
        </w:rPr>
      </w:pPr>
      <w:r>
        <w:rPr>
          <w:rFonts w:ascii="Times New Roman" w:cs="Times New Roman" w:eastAsia="Times New Roman" w:hAnsi="Times New Roman"/>
          <w:sz w:val="16"/>
          <w:szCs w:val="16"/>
          <w:color w:val="auto"/>
        </w:rPr>
        <w:t>Certain of our derivative instruments contain provisions that require us to maintain an investment grade rating from each of the major credit rating agencies on our debt. If the ratings on our debt were to fall below investment grade, it would be in violation of these provisions and the counterparties to the derivative instruments could request immediate payment or demand immediate and ongoing full overnight collateralization on derivative instruments in net liability positions. The aggregate fair value, inclusive of accrued interest, of all derivative instruments with credit-risk-related contingent features that were in a liability position without regard to netting under derivative credit support annex agreements as of March 31, 2025 and December 31, 2024, was $420.0 million and $472.3 million, respectively. Cleared derivatives have contingent features that require us to post excess margin as required by the FCM. The terms surrounding excess margin vary by FCM agreement. With respect to derivatives containing collateral provisions, we posted collateral and initial margin of $539.4 million and $533.7 million as of March 31, 2025 and December 31, 2024, respectively, in the normal course of business, which reflects netting under derivative agreements. If the credit-risk-related contingent features underlying these agreements were triggered on March 31, 2025, we would be required to post up to an additional $108.2 million of collateral to our counterparties.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6"/>
          <w:szCs w:val="16"/>
          <w:color w:val="auto"/>
        </w:rPr>
        <w:t>As of March 31, 2025 and December 31, 2024, we had received $332.7 million and $358.9 million, respectively, of cash collateral associated with our derivative credit support annex agreements and FCM agreements, for which we recorded a corresponding liability reflecting our obligation to return the collateral.</w:t>
      </w:r>
    </w:p>
    <w:p>
      <w:pPr>
        <w:spacing w:after="0" w:line="164"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Notional amounts are used to express the extent of our involvement in derivative transactions and represent a standard measurement of the volume of our derivative activity. Notional amounts represent those amounts used to calculate contractual flows to be exchanged and are not paid or received, except for contracts such as currency swaps. Credit exposure represents the gross amount owed to us under derivative contracts as of the valuation date. The notional amounts and credit exposure of our derivative financial instruments by type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2"/>
          </w:tcPr>
          <w:p>
            <w:pPr>
              <w:jc w:val="center"/>
              <w:ind w:right="26"/>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Notional amounts of derivative instruments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Interest rate contracts: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3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60,338.6</w:t>
            </w:r>
          </w:p>
        </w:tc>
        <w:tc>
          <w:tcPr>
            <w:tcW w:w="540" w:type="dxa"/>
            <w:vAlign w:val="bottom"/>
            <w:gridSpan w:val="2"/>
            <w:shd w:val="clear" w:color="auto" w:fill="CCEEFF"/>
          </w:tcPr>
          <w:p>
            <w:pPr>
              <w:jc w:val="center"/>
              <w:ind w:right="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60,776.6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options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4,635.0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forwards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1,860.1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2,125.6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futures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1,272.9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Foreign exchange contracts: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Currency swaps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3,035.2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2,883.8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Currency forwards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978.2</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Equity contracts: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options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5,031.0</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futures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952.4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return swaps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896.5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Credit contracts: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Credit default swaps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478.3</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return swaps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250.0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Other contracts: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Embedded derivatives</w:t>
            </w:r>
          </w:p>
        </w:tc>
        <w:tc>
          <w:tcPr>
            <w:tcW w:w="3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22,869.4</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22,592.0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notional amounts at end of period</w:t>
            </w:r>
          </w:p>
        </w:tc>
        <w:tc>
          <w:tcPr>
            <w:tcW w:w="3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102,597.6</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center"/>
              <w:ind w:right="206"/>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101,572.1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Credit exposure of derivative instruments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Interest rate contracts: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3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w:t>
            </w:r>
          </w:p>
        </w:tc>
        <w:tc>
          <w:tcPr>
            <w:tcW w:w="540" w:type="dxa"/>
            <w:vAlign w:val="bottom"/>
            <w:gridSpan w:val="2"/>
            <w:shd w:val="clear" w:color="auto" w:fill="CCEEFF"/>
          </w:tcPr>
          <w:p>
            <w:pPr>
              <w:jc w:val="center"/>
              <w:ind w:right="2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rate options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Foreign exchange contracts: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Currency swaps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204.5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Currency forwards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contracts:</w:t>
            </w:r>
          </w:p>
        </w:tc>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Equity options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388.1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return swaps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Credit contracts:</w:t>
            </w:r>
          </w:p>
        </w:tc>
        <w:tc>
          <w:tcPr>
            <w:tcW w:w="3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Credit default swaps</w:t>
            </w: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return swaps</w:t>
            </w:r>
          </w:p>
        </w:tc>
        <w:tc>
          <w:tcPr>
            <w:tcW w:w="3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0.9</w:t>
            </w:r>
          </w:p>
        </w:tc>
        <w:tc>
          <w:tcPr>
            <w:tcW w:w="1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gross credit exposure</w:t>
            </w: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622.6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collateral received</w:t>
            </w:r>
          </w:p>
        </w:tc>
        <w:tc>
          <w:tcPr>
            <w:tcW w:w="3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390.4</w:t>
            </w:r>
          </w:p>
        </w:tc>
        <w:tc>
          <w:tcPr>
            <w:tcW w:w="1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450.3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credit exposure</w:t>
            </w:r>
          </w:p>
        </w:tc>
        <w:tc>
          <w:tcPr>
            <w:tcW w:w="320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232.2</w:t>
            </w:r>
          </w:p>
        </w:tc>
        <w:tc>
          <w:tcPr>
            <w:tcW w:w="180" w:type="dxa"/>
            <w:vAlign w:val="bottom"/>
          </w:tcPr>
          <w:p>
            <w:pPr>
              <w:spacing w:after="0"/>
              <w:rPr>
                <w:sz w:val="14"/>
                <w:szCs w:val="14"/>
                <w:color w:val="auto"/>
              </w:rPr>
            </w:pPr>
          </w:p>
        </w:tc>
        <w:tc>
          <w:tcPr>
            <w:tcW w:w="360" w:type="dxa"/>
            <w:vAlign w:val="bottom"/>
            <w:tcBorders>
              <w:bottom w:val="single" w:sz="8" w:color="auto"/>
            </w:tcBorders>
          </w:tcPr>
          <w:p>
            <w:pPr>
              <w:jc w:val="center"/>
              <w:ind w:right="206"/>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214.0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0" w:type="dxa"/>
            <w:vAlign w:val="bottom"/>
            <w:vMerge w:val="restart"/>
          </w:tcPr>
          <w:p>
            <w:pPr>
              <w:jc w:val="right"/>
              <w:ind w:right="2122"/>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7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7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37" w:name="page38"/>
    <w:bookmarkEnd w:id="3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fair value of our derivative instruments classified as assets and liabilities was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Derivative assets (1)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Derivative liabilities (2)</w:t>
            </w:r>
          </w:p>
        </w:tc>
      </w:tr>
      <w:tr>
        <w:trPr>
          <w:trHeight w:val="148"/>
        </w:trPr>
        <w:tc>
          <w:tcPr>
            <w:tcW w:w="2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2"/>
                <w:szCs w:val="12"/>
                <w:color w:val="auto"/>
              </w:rPr>
            </w:pPr>
          </w:p>
        </w:tc>
        <w:tc>
          <w:tcPr>
            <w:tcW w:w="116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60" w:type="dxa"/>
            <w:vAlign w:val="bottom"/>
          </w:tcPr>
          <w:p>
            <w:pPr>
              <w:spacing w:after="0"/>
              <w:rPr>
                <w:sz w:val="12"/>
                <w:szCs w:val="12"/>
                <w:color w:val="auto"/>
              </w:rPr>
            </w:pPr>
          </w:p>
        </w:tc>
        <w:tc>
          <w:tcPr>
            <w:tcW w:w="114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right"/>
              <w:ind w:right="43"/>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80" w:type="dxa"/>
            <w:vAlign w:val="bottom"/>
            <w:gridSpan w:val="3"/>
          </w:tcPr>
          <w:p>
            <w:pPr>
              <w:jc w:val="right"/>
              <w:ind w:right="824"/>
              <w:spacing w:after="0" w:line="136" w:lineRule="exact"/>
              <w:rPr>
                <w:sz w:val="20"/>
                <w:szCs w:val="20"/>
                <w:color w:val="auto"/>
              </w:rPr>
            </w:pPr>
            <w:r>
              <w:rPr>
                <w:rFonts w:ascii="Times New Roman" w:cs="Times New Roman" w:eastAsia="Times New Roman" w:hAnsi="Times New Roman"/>
                <w:sz w:val="13"/>
                <w:szCs w:val="13"/>
                <w:i w:val="1"/>
                <w:iCs w:val="1"/>
                <w:color w:val="auto"/>
                <w:w w:val="77"/>
              </w:rPr>
              <w:t>millions)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rate contracts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519"/>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79.1</w:t>
            </w:r>
          </w:p>
        </w:tc>
        <w:tc>
          <w:tcPr>
            <w:tcW w:w="48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83.0</w:t>
            </w: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175.8</w:t>
            </w:r>
          </w:p>
        </w:tc>
        <w:tc>
          <w:tcPr>
            <w:tcW w:w="1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r>
      <w:tr>
        <w:trPr>
          <w:trHeight w:val="212"/>
        </w:trPr>
        <w:tc>
          <w:tcPr>
            <w:tcW w:w="428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derivatives designated as hedging instruments</w:t>
            </w: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175.8</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103.0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103.7</w:t>
            </w:r>
          </w:p>
        </w:tc>
      </w:tr>
      <w:tr>
        <w:trPr>
          <w:trHeight w:val="156"/>
        </w:trPr>
        <w:tc>
          <w:tcPr>
            <w:tcW w:w="23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contracts</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31.1</w:t>
            </w:r>
          </w:p>
        </w:tc>
        <w:tc>
          <w:tcPr>
            <w:tcW w:w="820" w:type="dxa"/>
            <w:vAlign w:val="bottom"/>
            <w:gridSpan w:val="2"/>
            <w:shd w:val="clear" w:color="auto" w:fill="CCEEFF"/>
          </w:tcPr>
          <w:p>
            <w:pPr>
              <w:jc w:val="right"/>
              <w:ind w:right="519"/>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161.1</w:t>
            </w:r>
          </w:p>
        </w:tc>
        <w:tc>
          <w:tcPr>
            <w:tcW w:w="480" w:type="dxa"/>
            <w:vAlign w:val="bottom"/>
            <w:gridSpan w:val="2"/>
            <w:shd w:val="clear" w:color="auto" w:fill="CCEEFF"/>
          </w:tcPr>
          <w:p>
            <w:pPr>
              <w:jc w:val="right"/>
              <w:ind w:right="1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246.9</w:t>
            </w: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31.5</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34.8</w:t>
            </w: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contracts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368.1</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136.0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119.8</w:t>
            </w: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Credit contracts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contracts</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(2,282.1)</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(2,436.1)</w:t>
            </w:r>
          </w:p>
        </w:tc>
      </w:tr>
      <w:tr>
        <w:trPr>
          <w:trHeight w:val="172"/>
        </w:trPr>
        <w:tc>
          <w:tcPr>
            <w:tcW w:w="428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derivatives not designated as hedging instruments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435.0</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477.8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(1,947.7)</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(2,033.6)</w:t>
            </w:r>
          </w:p>
        </w:tc>
      </w:tr>
      <w:tr>
        <w:trPr>
          <w:trHeight w:val="172"/>
        </w:trPr>
        <w:tc>
          <w:tcPr>
            <w:tcW w:w="23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Total derivative instruments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610.8</w:t>
            </w:r>
          </w:p>
        </w:tc>
        <w:tc>
          <w:tcPr>
            <w:tcW w:w="820" w:type="dxa"/>
            <w:vAlign w:val="bottom"/>
            <w:gridSpan w:val="2"/>
          </w:tcPr>
          <w:p>
            <w:pPr>
              <w:jc w:val="right"/>
              <w:ind w:right="519"/>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648.2</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(1,844.7)</w:t>
            </w:r>
          </w:p>
        </w:tc>
        <w:tc>
          <w:tcPr>
            <w:tcW w:w="48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(1,929.9)</w:t>
            </w:r>
          </w:p>
        </w:tc>
      </w:tr>
      <w:tr>
        <w:trPr>
          <w:trHeight w:val="20"/>
        </w:trPr>
        <w:tc>
          <w:tcPr>
            <w:tcW w:w="2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derivative assets is reported with other investments on the consolidated statements of financial position.</w:t>
      </w:r>
    </w:p>
    <w:p>
      <w:pPr>
        <w:spacing w:after="0" w:line="14" w:lineRule="exact"/>
        <w:rPr>
          <w:rFonts w:ascii="Times New Roman" w:cs="Times New Roman" w:eastAsia="Times New Roman" w:hAnsi="Times New Roman"/>
          <w:sz w:val="16"/>
          <w:szCs w:val="16"/>
          <w:color w:val="auto"/>
        </w:rPr>
      </w:pPr>
    </w:p>
    <w:p>
      <w:pPr>
        <w:ind w:left="282" w:right="20" w:hanging="282"/>
        <w:spacing w:after="0" w:line="268" w:lineRule="auto"/>
        <w:tabs>
          <w:tab w:leader="none" w:pos="28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liabilities is reported with other liabilities on the consolidated statements of financial position, with the exception of certain embedded derivative liabilities. Embedded derivatives with a net liability fair value of $522.7 million and $578.4 million as of March 31, 2025 and December 31, 2024, respectively, are reported with contractholder funds on the consolidated statements of financial position.</w:t>
      </w:r>
    </w:p>
    <w:p>
      <w:pPr>
        <w:ind w:left="282" w:right="8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Embedded derivatives with a net (asset) liability fair value of $(2,804.8) million and $(3,014.5) million as of March 31, 2025 and December 31, 2024, respectively, are reported with funds withheld payable on the consolidated statements of financial position.</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Credit Derivatives Sold</w:t>
      </w:r>
    </w:p>
    <w:p>
      <w:pPr>
        <w:spacing w:after="0" w:line="190" w:lineRule="exact"/>
        <w:rPr>
          <w:sz w:val="20"/>
          <w:szCs w:val="20"/>
          <w:color w:val="auto"/>
        </w:rPr>
      </w:pPr>
    </w:p>
    <w:p>
      <w:pPr>
        <w:jc w:val="both"/>
        <w:ind w:left="2" w:right="100" w:firstLine="576"/>
        <w:spacing w:after="0" w:line="243" w:lineRule="auto"/>
        <w:rPr>
          <w:sz w:val="20"/>
          <w:szCs w:val="20"/>
          <w:color w:val="auto"/>
        </w:rPr>
      </w:pPr>
      <w:r>
        <w:rPr>
          <w:rFonts w:ascii="Times New Roman" w:cs="Times New Roman" w:eastAsia="Times New Roman" w:hAnsi="Times New Roman"/>
          <w:sz w:val="16"/>
          <w:szCs w:val="16"/>
          <w:color w:val="auto"/>
        </w:rPr>
        <w:t>When we sell credit protection, we are exposed to the underlying credit risk similar to purchasing a fixed maturity security instrument. Our credit derivative contracts sold reference a single name or reference security (referred to as “single name credit default swaps” or “single name total return swaps”). These instruments are either referenced in an OTC credit derivative transaction or embedded within an investment structure that has been fully consolidated into our financial statements.</w:t>
      </w:r>
    </w:p>
    <w:p>
      <w:pPr>
        <w:spacing w:after="0" w:line="167" w:lineRule="exact"/>
        <w:rPr>
          <w:sz w:val="20"/>
          <w:szCs w:val="20"/>
          <w:color w:val="auto"/>
        </w:rPr>
      </w:pPr>
    </w:p>
    <w:p>
      <w:pPr>
        <w:ind w:left="2" w:right="20" w:firstLine="576"/>
        <w:spacing w:after="0" w:line="239" w:lineRule="auto"/>
        <w:rPr>
          <w:sz w:val="20"/>
          <w:szCs w:val="20"/>
          <w:color w:val="auto"/>
        </w:rPr>
      </w:pPr>
      <w:r>
        <w:rPr>
          <w:rFonts w:ascii="Times New Roman" w:cs="Times New Roman" w:eastAsia="Times New Roman" w:hAnsi="Times New Roman"/>
          <w:sz w:val="16"/>
          <w:szCs w:val="16"/>
          <w:color w:val="auto"/>
        </w:rPr>
        <w:t>These credit derivative transactions are subject to events of default defined within the terms of the contract, which normally consist of bankruptcy, failure to pay, or modified restructuring of the reference entity and/or issue. If a default event occurs for a reference name or security, we are obligated to pay the counterparty an amount equal to the notional amount of the credit derivative transaction. As a result, our maximum future payment is equal to the notional amount of the credit derivative. In certain cases, we also may have purchased credit protection with identical underlyings to certain of our sold protection transactions. As of March 31, 2025 and December 31, 2024, we did not purchase credit protection relating to our sold protection transactions. In certain circumstances, our potential loss could also be reduced by any amount recovered in the default proceedings of the underlying credit name.</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tables show our derivative protection sold by types of contract, types of referenced/underlying asset class and external agency rating for the underlying reference security. The maximum future payments are undiscounted and have not been reduced by the effect of any offsetting transactions, collateral or recourse features described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8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future</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 life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6"/>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Single name credit default swaps</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 debt</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76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56.7</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56.7</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86.6</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Sovereign</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20.0</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single name credit default swaps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323.3</w:t>
            </w:r>
          </w:p>
        </w:tc>
        <w:tc>
          <w:tcPr>
            <w:tcW w:w="10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Single name total return swaps</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Government/municipalities</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AAA</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80.0</w:t>
            </w:r>
          </w:p>
        </w:tc>
        <w:tc>
          <w:tcPr>
            <w:tcW w:w="1000" w:type="dxa"/>
            <w:vAlign w:val="bottom"/>
            <w:tcBorders>
              <w:bottom w:val="single" w:sz="8" w:color="CCEEFF"/>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30.4</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single name total return swaps</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250.0</w:t>
            </w:r>
          </w:p>
        </w:tc>
        <w:tc>
          <w:tcPr>
            <w:tcW w:w="100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credit derivatives sold</w:t>
            </w:r>
          </w:p>
        </w:tc>
        <w:tc>
          <w:tcPr>
            <w:tcW w:w="1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573.3</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573.3</w:t>
            </w:r>
          </w:p>
        </w:tc>
        <w:tc>
          <w:tcPr>
            <w:tcW w:w="1000" w:type="dxa"/>
            <w:vAlign w:val="bottom"/>
            <w:tcBorders>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future</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 life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6"/>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Single name credit default swaps</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 debt</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76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BBB</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160.0</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Sovereign</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000" w:type="dxa"/>
            <w:vAlign w:val="bottom"/>
            <w:tcBorders>
              <w:bottom w:val="single" w:sz="8" w:color="CCEEFF"/>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single name credit default swaps</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220.0</w:t>
            </w:r>
          </w:p>
        </w:tc>
        <w:tc>
          <w:tcPr>
            <w:tcW w:w="100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Single name total return swaps</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Government/municipalities</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AAA</w:t>
            </w:r>
          </w:p>
        </w:tc>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AA</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single name total return swaps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250.0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250.0</w:t>
            </w:r>
          </w:p>
        </w:tc>
        <w:tc>
          <w:tcPr>
            <w:tcW w:w="10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credit derivatives sold</w:t>
            </w:r>
          </w:p>
        </w:tc>
        <w:tc>
          <w:tcPr>
            <w:tcW w:w="16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470.0</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470.0</w:t>
            </w:r>
          </w:p>
        </w:tc>
        <w:tc>
          <w:tcPr>
            <w:tcW w:w="10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2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5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39" w:name="page40"/>
    <w:bookmarkEnd w:id="39"/>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Fair Value and Cash Flow Hedges</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Fair Value Hedges</w:t>
      </w:r>
    </w:p>
    <w:p>
      <w:pPr>
        <w:spacing w:after="0" w:line="192" w:lineRule="exact"/>
        <w:rPr>
          <w:sz w:val="20"/>
          <w:szCs w:val="20"/>
          <w:color w:val="auto"/>
        </w:rPr>
      </w:pPr>
    </w:p>
    <w:p>
      <w:pPr>
        <w:ind w:left="2" w:right="140" w:firstLine="576"/>
        <w:spacing w:after="0" w:line="247" w:lineRule="auto"/>
        <w:rPr>
          <w:sz w:val="20"/>
          <w:szCs w:val="20"/>
          <w:color w:val="auto"/>
        </w:rPr>
      </w:pPr>
      <w:r>
        <w:rPr>
          <w:rFonts w:ascii="Times New Roman" w:cs="Times New Roman" w:eastAsia="Times New Roman" w:hAnsi="Times New Roman"/>
          <w:sz w:val="16"/>
          <w:szCs w:val="16"/>
          <w:color w:val="auto"/>
        </w:rPr>
        <w:t>We use fixed-to-floating rate interest rate swaps to more closely align the interest rate characteristics of certain assets and also use them to align the interest rate characteristics of certain liabilities. In general, these swaps are used in asset and liability management to modify duration, which is a measure of sensitivity to interest rate changes.</w:t>
      </w:r>
    </w:p>
    <w:p>
      <w:pPr>
        <w:spacing w:after="0" w:line="164" w:lineRule="exact"/>
        <w:rPr>
          <w:sz w:val="20"/>
          <w:szCs w:val="20"/>
          <w:color w:val="auto"/>
        </w:rPr>
      </w:pPr>
    </w:p>
    <w:p>
      <w:pPr>
        <w:ind w:left="2" w:right="120" w:firstLine="576"/>
        <w:spacing w:after="0" w:line="259" w:lineRule="auto"/>
        <w:rPr>
          <w:sz w:val="20"/>
          <w:szCs w:val="20"/>
          <w:color w:val="auto"/>
        </w:rPr>
      </w:pPr>
      <w:r>
        <w:rPr>
          <w:rFonts w:ascii="Times New Roman" w:cs="Times New Roman" w:eastAsia="Times New Roman" w:hAnsi="Times New Roman"/>
          <w:sz w:val="16"/>
          <w:szCs w:val="16"/>
          <w:color w:val="auto"/>
        </w:rPr>
        <w:t>We enter into currency exchange swap agreements to convert certain foreign denominated assets into U.S. dollar denominated instruments to hedge the exposure to future currency volatility on those items.</w:t>
      </w:r>
    </w:p>
    <w:p>
      <w:pPr>
        <w:spacing w:after="0" w:line="155" w:lineRule="exact"/>
        <w:rPr>
          <w:sz w:val="20"/>
          <w:szCs w:val="20"/>
          <w:color w:val="auto"/>
        </w:rPr>
      </w:pPr>
    </w:p>
    <w:p>
      <w:pPr>
        <w:ind w:left="2" w:right="100" w:firstLine="576"/>
        <w:spacing w:after="0" w:line="243" w:lineRule="auto"/>
        <w:rPr>
          <w:sz w:val="20"/>
          <w:szCs w:val="20"/>
          <w:color w:val="auto"/>
        </w:rPr>
      </w:pPr>
      <w:r>
        <w:rPr>
          <w:rFonts w:ascii="Times New Roman" w:cs="Times New Roman" w:eastAsia="Times New Roman" w:hAnsi="Times New Roman"/>
          <w:sz w:val="16"/>
          <w:szCs w:val="16"/>
          <w:color w:val="auto"/>
        </w:rPr>
        <w:t>The net interest effect of interest rate swap and currency swap transactions for derivatives in fair value hedges is recorded as an adjustment to income or expense of the underlying hedged item in our consolidated statements of operations. The currency related impacts of currency swap transactions for derivatives in fair value hedges is recorded as an adjustment to net realized capital gains or losses of the underlying hedged item in our consolidated statements of operations.</w:t>
      </w:r>
    </w:p>
    <w:p>
      <w:pPr>
        <w:spacing w:after="0" w:line="167" w:lineRule="exact"/>
        <w:rPr>
          <w:sz w:val="20"/>
          <w:szCs w:val="20"/>
          <w:color w:val="auto"/>
        </w:rPr>
      </w:pPr>
    </w:p>
    <w:p>
      <w:pPr>
        <w:ind w:left="2" w:right="180" w:firstLine="576"/>
        <w:spacing w:after="0" w:line="259" w:lineRule="auto"/>
        <w:rPr>
          <w:sz w:val="20"/>
          <w:szCs w:val="20"/>
          <w:color w:val="auto"/>
        </w:rPr>
      </w:pPr>
      <w:r>
        <w:rPr>
          <w:rFonts w:ascii="Times New Roman" w:cs="Times New Roman" w:eastAsia="Times New Roman" w:hAnsi="Times New Roman"/>
          <w:sz w:val="16"/>
          <w:szCs w:val="16"/>
          <w:color w:val="auto"/>
        </w:rPr>
        <w:t>The following amounts were recorded on the consolidated statements of financial position related to cumulative basis adjustments for fair value hedges. The amortized cost includes the amortized cost basis and the fair value hedging basis adjustment.</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Cumulative amount of fair</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value hedging basis adjustment</w:t>
            </w:r>
          </w:p>
        </w:tc>
        <w:tc>
          <w:tcPr>
            <w:tcW w:w="0" w:type="dxa"/>
            <w:vAlign w:val="bottom"/>
          </w:tcPr>
          <w:p>
            <w:pPr>
              <w:spacing w:after="0"/>
              <w:rPr>
                <w:sz w:val="1"/>
                <w:szCs w:val="1"/>
                <w:color w:val="auto"/>
              </w:rPr>
            </w:pPr>
          </w:p>
        </w:tc>
      </w:tr>
      <w:tr>
        <w:trPr>
          <w:trHeight w:val="156"/>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Line item in the consolidated statements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increase/(decrease) included in the</w:t>
            </w:r>
          </w:p>
        </w:tc>
        <w:tc>
          <w:tcPr>
            <w:tcW w:w="0" w:type="dxa"/>
            <w:vAlign w:val="bottom"/>
          </w:tcPr>
          <w:p>
            <w:pPr>
              <w:spacing w:after="0"/>
              <w:rPr>
                <w:sz w:val="1"/>
                <w:szCs w:val="1"/>
                <w:color w:val="auto"/>
              </w:rPr>
            </w:pPr>
          </w:p>
        </w:tc>
      </w:tr>
      <w:tr>
        <w:trPr>
          <w:trHeight w:val="170"/>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financial position in which the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Carrying amount of hedged item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carrying amount of the hedged item</w:t>
            </w:r>
          </w:p>
        </w:tc>
        <w:tc>
          <w:tcPr>
            <w:tcW w:w="0" w:type="dxa"/>
            <w:vAlign w:val="bottom"/>
          </w:tcPr>
          <w:p>
            <w:pPr>
              <w:spacing w:after="0"/>
              <w:rPr>
                <w:sz w:val="1"/>
                <w:szCs w:val="1"/>
                <w:color w:val="auto"/>
              </w:rPr>
            </w:pPr>
          </w:p>
        </w:tc>
      </w:tr>
      <w:tr>
        <w:trPr>
          <w:trHeight w:val="148"/>
        </w:trPr>
        <w:tc>
          <w:tcPr>
            <w:tcW w:w="3300" w:type="dxa"/>
            <w:vAlign w:val="bottom"/>
            <w:tcBorders>
              <w:bottom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hedged item is included</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25"/>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27"/>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3"/>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1500" w:type="dxa"/>
            <w:vAlign w:val="bottom"/>
            <w:gridSpan w:val="3"/>
          </w:tcPr>
          <w:p>
            <w:pPr>
              <w:jc w:val="center"/>
              <w:ind w:right="967"/>
              <w:spacing w:after="0" w:line="148"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3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Active hedging relationships</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3,138.5</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3,208.4</w:t>
            </w:r>
          </w:p>
        </w:tc>
        <w:tc>
          <w:tcPr>
            <w:tcW w:w="340" w:type="dxa"/>
            <w:vAlign w:val="bottom"/>
            <w:gridSpan w:val="2"/>
          </w:tcPr>
          <w:p>
            <w:pPr>
              <w:jc w:val="center"/>
              <w:ind w:left="64"/>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(58.9)</w:t>
            </w:r>
          </w:p>
        </w:tc>
        <w:tc>
          <w:tcPr>
            <w:tcW w:w="2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Discontinued hedging relationships</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508.7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528.6</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30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auto"/>
                <w:w w:val="98"/>
              </w:rPr>
              <w:t>Total fixed maturities, available-for-sale in active or</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3,647.2</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3,737.0</w:t>
            </w:r>
          </w:p>
        </w:tc>
        <w:tc>
          <w:tcPr>
            <w:tcW w:w="340" w:type="dxa"/>
            <w:vAlign w:val="bottom"/>
            <w:gridSpan w:val="2"/>
            <w:vMerge w:val="restart"/>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(65.0)</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21"/>
        </w:trPr>
        <w:tc>
          <w:tcPr>
            <w:tcW w:w="33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discontinued hedging relationships</w:t>
            </w:r>
          </w:p>
        </w:tc>
        <w:tc>
          <w:tcPr>
            <w:tcW w:w="3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Mortgage loans (2):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Active hedging relationships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1,663.7</w:t>
            </w:r>
          </w:p>
        </w:tc>
        <w:tc>
          <w:tcPr>
            <w:tcW w:w="3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1,707.1</w:t>
            </w:r>
          </w:p>
        </w:tc>
        <w:tc>
          <w:tcPr>
            <w:tcW w:w="340" w:type="dxa"/>
            <w:vAlign w:val="bottom"/>
            <w:gridSpan w:val="2"/>
            <w:shd w:val="clear" w:color="auto" w:fill="CCEEFF"/>
          </w:tcPr>
          <w:p>
            <w:pPr>
              <w:jc w:val="center"/>
              <w:ind w:left="64"/>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Total mortgage loans in active or discontinued</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00" w:type="dxa"/>
            <w:vAlign w:val="bottom"/>
            <w:gridSpan w:val="2"/>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1,663.7</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1,707.1</w:t>
            </w:r>
          </w:p>
        </w:tc>
        <w:tc>
          <w:tcPr>
            <w:tcW w:w="340" w:type="dxa"/>
            <w:vAlign w:val="bottom"/>
            <w:gridSpan w:val="2"/>
            <w:vMerge w:val="restart"/>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2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3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hedging relationships</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Active hedging relationships</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3,295.9</w:t>
            </w:r>
          </w:p>
        </w:tc>
        <w:tc>
          <w:tcPr>
            <w:tcW w:w="3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2,769.6</w:t>
            </w:r>
          </w:p>
        </w:tc>
        <w:tc>
          <w:tcPr>
            <w:tcW w:w="340" w:type="dxa"/>
            <w:vAlign w:val="bottom"/>
            <w:gridSpan w:val="2"/>
            <w:shd w:val="clear" w:color="auto" w:fill="CCEEFF"/>
          </w:tcPr>
          <w:p>
            <w:pPr>
              <w:jc w:val="center"/>
              <w:ind w:left="64"/>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6"/>
                <w:szCs w:val="16"/>
                <w:color w:val="auto"/>
                <w:w w:val="98"/>
              </w:rPr>
              <w:t>Total investment contracts in active or discontinued</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00" w:type="dxa"/>
            <w:vAlign w:val="bottom"/>
            <w:gridSpan w:val="2"/>
            <w:vMerge w:val="continue"/>
          </w:tcPr>
          <w:p>
            <w:pPr>
              <w:spacing w:after="0"/>
              <w:rPr>
                <w:sz w:val="12"/>
                <w:szCs w:val="12"/>
                <w:color w:val="auto"/>
              </w:rPr>
            </w:pPr>
          </w:p>
        </w:tc>
        <w:tc>
          <w:tcPr>
            <w:tcW w:w="20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3,295.9</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2,769.6</w:t>
            </w:r>
          </w:p>
        </w:tc>
        <w:tc>
          <w:tcPr>
            <w:tcW w:w="340" w:type="dxa"/>
            <w:vAlign w:val="bottom"/>
            <w:gridSpan w:val="2"/>
            <w:vMerge w:val="restart"/>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20" w:type="dxa"/>
            <w:vAlign w:val="bottom"/>
          </w:tcPr>
          <w:p>
            <w:pPr>
              <w:spacing w:after="0"/>
              <w:rPr>
                <w:sz w:val="12"/>
                <w:szCs w:val="12"/>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81"/>
        </w:trPr>
        <w:tc>
          <w:tcPr>
            <w:tcW w:w="33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hedging relationships</w:t>
            </w:r>
          </w:p>
        </w:tc>
        <w:tc>
          <w:tcPr>
            <w:tcW w:w="2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100" w:hanging="282"/>
        <w:spacing w:after="0" w:line="239" w:lineRule="auto"/>
        <w:tabs>
          <w:tab w:leader="none" w:pos="28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the amortized cost basis of closed portfolios used to designate portfolio layer hedging relationships in which the hedged layer amount is expected to remain at the end of the hedging relationship. As of March 31, 2025 and December 31, 2024, the amortized cost basis of the closed portfolios used in these hedging relationships was $2,760.6 million and $2,849.3 million, respectively, the cumulative basis adjustments associated with these hedging relationships was $(37.5) million and $(55.7) million, respectively, and the amount of the designated hedged items were $1,160.0 million and $1,160.0 million, respectively.</w:t>
      </w:r>
    </w:p>
    <w:p>
      <w:pPr>
        <w:spacing w:after="0" w:line="2" w:lineRule="exact"/>
        <w:rPr>
          <w:rFonts w:ascii="Times New Roman" w:cs="Times New Roman" w:eastAsia="Times New Roman" w:hAnsi="Times New Roman"/>
          <w:sz w:val="16"/>
          <w:szCs w:val="16"/>
          <w:color w:val="auto"/>
        </w:rPr>
      </w:pPr>
    </w:p>
    <w:p>
      <w:pPr>
        <w:ind w:left="282" w:right="100" w:hanging="282"/>
        <w:spacing w:after="0" w:line="236" w:lineRule="auto"/>
        <w:tabs>
          <w:tab w:leader="none" w:pos="28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the amortized cost basis of closed portfolios used to designate portfolio layer hedging relationships in which the hedged layer amount is expected to remain at the end of the hedging relationship. As of March 31, 2025 and December 31, 2024, the amortized cost basis of the closed portfolios used in these hedging relationships was $1,663.7 million and $1,707.1 million, respectively, the cumulative basis adjustments associated with these hedging relationships was $(3.1) million and $(8.4) million, respectively, and the amount of the designated hedged items were $220.0 million and $220.0 million, respectively.</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400" w:firstLine="576"/>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2025 and 2024, $1.1 million and $0.0 million, respectively, of the derivative instruments’ gains (losses) were excluded from the assessment of hedge effectiveness.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utilize floating-to-fixed rate interest rate swaps to eliminate the variability in cash flows of recognized financial assets and liabilities.</w:t>
      </w:r>
    </w:p>
    <w:p>
      <w:pPr>
        <w:spacing w:after="0" w:line="188"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We enter into currency exchange swap agreements to convert both principal and interest payments of certain foreign denominated assets and liabilities into U.S. dollar denominated fixed rate instruments to eliminate the exposure to future currency volatility on those items.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use bond forwards and floating-to-fixed rate interest rate swaps to hedge forecasted transactions.</w:t>
      </w:r>
    </w:p>
    <w:p>
      <w:pPr>
        <w:spacing w:after="0" w:line="188"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The net interest effect of interest rate swap and currency swap transactions for derivatives in cash flow hedges is recorded as an adjustment to income or expense of the underlying hedged item in our consolidated statements of operations.</w:t>
      </w:r>
    </w:p>
    <w:p>
      <w:pPr>
        <w:spacing w:after="0" w:line="155"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The maximum length of time we are hedging our exposure to the variability in future cash flows for forecasted transactions, excluding those related to the payments of variable interest on existing financial assets and liabilities, is 1.9 years. As of March 31, 2025, we had $6.5 million of net gains reported in AOCI on the consolidated statements of financial position related to active hedges of forecasted transactions. If a hedged forecasted transaction is no longer probable of occurring, cash flow hedge accounting is discontinued. If it is probable that the hedged forecasted transaction will not occur, the deferred gain or loss is immediately reclassified from AOCI into net income.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table shows the effect of derivatives in cash flow hedging relationships on the consolidated statements of financial position.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Amount of gain (loss) recognized</w:t>
            </w:r>
          </w:p>
        </w:tc>
      </w:tr>
      <w:tr>
        <w:trPr>
          <w:trHeight w:val="156"/>
        </w:trPr>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in AOCI on derivatives for the</w:t>
            </w:r>
          </w:p>
        </w:tc>
      </w:tr>
      <w:tr>
        <w:trPr>
          <w:trHeight w:val="170"/>
        </w:trPr>
        <w:tc>
          <w:tcPr>
            <w:tcW w:w="28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Derivatives in cash</w:t>
            </w:r>
          </w:p>
        </w:tc>
        <w:tc>
          <w:tcPr>
            <w:tcW w:w="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48"/>
        </w:trPr>
        <w:tc>
          <w:tcPr>
            <w:tcW w:w="2860" w:type="dxa"/>
            <w:vAlign w:val="bottom"/>
            <w:tcBorders>
              <w:bottom w:val="single" w:sz="8" w:color="auto"/>
            </w:tcBorders>
          </w:tcPr>
          <w:p>
            <w:pPr>
              <w:ind w:left="700"/>
              <w:spacing w:after="0" w:line="148" w:lineRule="exact"/>
              <w:rPr>
                <w:sz w:val="20"/>
                <w:szCs w:val="20"/>
                <w:color w:val="auto"/>
              </w:rPr>
            </w:pPr>
            <w:r>
              <w:rPr>
                <w:rFonts w:ascii="Times New Roman" w:cs="Times New Roman" w:eastAsia="Times New Roman" w:hAnsi="Times New Roman"/>
                <w:sz w:val="13"/>
                <w:szCs w:val="13"/>
                <w:b w:val="1"/>
                <w:bCs w:val="1"/>
                <w:color w:val="auto"/>
              </w:rPr>
              <w:t>flow hedging relationships</w:t>
            </w:r>
          </w:p>
        </w:tc>
        <w:tc>
          <w:tcPr>
            <w:tcW w:w="260" w:type="dxa"/>
            <w:vAlign w:val="bottom"/>
          </w:tcPr>
          <w:p>
            <w:pPr>
              <w:spacing w:after="0"/>
              <w:rPr>
                <w:sz w:val="12"/>
                <w:szCs w:val="12"/>
                <w:color w:val="auto"/>
              </w:rPr>
            </w:pPr>
          </w:p>
        </w:tc>
        <w:tc>
          <w:tcPr>
            <w:tcW w:w="3020" w:type="dxa"/>
            <w:vAlign w:val="bottom"/>
            <w:tcBorders>
              <w:bottom w:val="single" w:sz="8" w:color="auto"/>
            </w:tcBorders>
          </w:tcPr>
          <w:p>
            <w:pPr>
              <w:ind w:left="920"/>
              <w:spacing w:after="0" w:line="148" w:lineRule="exact"/>
              <w:rPr>
                <w:sz w:val="20"/>
                <w:szCs w:val="20"/>
                <w:color w:val="auto"/>
              </w:rPr>
            </w:pPr>
            <w:r>
              <w:rPr>
                <w:rFonts w:ascii="Times New Roman" w:cs="Times New Roman" w:eastAsia="Times New Roman" w:hAnsi="Times New Roman"/>
                <w:sz w:val="13"/>
                <w:szCs w:val="13"/>
                <w:b w:val="1"/>
                <w:bCs w:val="1"/>
                <w:color w:val="auto"/>
              </w:rPr>
              <w:t>Related hedged item</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9"/>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48"/>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640" w:type="dxa"/>
            <w:vAlign w:val="bottom"/>
            <w:gridSpan w:val="2"/>
          </w:tcPr>
          <w:p>
            <w:pPr>
              <w:jc w:val="right"/>
              <w:ind w:right="102"/>
              <w:spacing w:after="0" w:line="148"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980" w:type="dxa"/>
            <w:vAlign w:val="bottom"/>
          </w:tcPr>
          <w:p>
            <w:pPr>
              <w:spacing w:after="0"/>
              <w:rPr>
                <w:sz w:val="12"/>
                <w:szCs w:val="12"/>
                <w:color w:val="auto"/>
              </w:rPr>
            </w:pP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contracts</w:t>
            </w:r>
          </w:p>
        </w:tc>
        <w:tc>
          <w:tcPr>
            <w:tcW w:w="3280" w:type="dxa"/>
            <w:vAlign w:val="bottom"/>
            <w:gridSpan w:val="2"/>
            <w:shd w:val="clear" w:color="auto" w:fill="CCEEFF"/>
          </w:tcPr>
          <w:p>
            <w:pPr>
              <w:ind w:left="260"/>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56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w:t>
            </w:r>
          </w:p>
        </w:tc>
        <w:tc>
          <w:tcPr>
            <w:tcW w:w="64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0"/>
        </w:trPr>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contracts</w:t>
            </w:r>
          </w:p>
        </w:tc>
        <w:tc>
          <w:tcPr>
            <w:tcW w:w="328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Investment contracts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2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3280" w:type="dxa"/>
            <w:vAlign w:val="bottom"/>
            <w:gridSpan w:val="2"/>
            <w:shd w:val="clear" w:color="auto" w:fill="CCEEFF"/>
          </w:tcPr>
          <w:p>
            <w:pPr>
              <w:ind w:left="260"/>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29.4</w:t>
            </w:r>
          </w:p>
        </w:tc>
      </w:tr>
      <w:tr>
        <w:trPr>
          <w:trHeight w:val="172"/>
        </w:trPr>
        <w:tc>
          <w:tcPr>
            <w:tcW w:w="28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17.4</w:t>
            </w:r>
          </w:p>
        </w:tc>
        <w:tc>
          <w:tcPr>
            <w:tcW w:w="260" w:type="dxa"/>
            <w:vAlign w:val="bottom"/>
          </w:tcPr>
          <w:p>
            <w:pPr>
              <w:spacing w:after="0"/>
              <w:rPr>
                <w:sz w:val="14"/>
                <w:szCs w:val="14"/>
                <w:color w:val="auto"/>
              </w:rPr>
            </w:pPr>
          </w:p>
        </w:tc>
        <w:tc>
          <w:tcPr>
            <w:tcW w:w="380" w:type="dxa"/>
            <w:vAlign w:val="bottom"/>
            <w:tcBorders>
              <w:bottom w:val="single" w:sz="8" w:color="auto"/>
            </w:tcBorders>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23.0</w:t>
            </w: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We expect to reclassify net gains of $ 22.1 million from AOCI into net income in the next twelve months, which includes both net deferred gains on discontinued hedges and net gains on periodic settlements of active hedges. Actual amounts may vary from this amount as a result of market conditions.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7" w:right="1260"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 of Fair Value and Cash Flow Hedges on Consolidated Statements of Operations</w:t>
      </w:r>
    </w:p>
    <w:p>
      <w:pPr>
        <w:spacing w:after="0" w:line="192"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show the effect of derivatives in fair value and cash flow hedging relationships and the related hedged items on the consolidated statements of operations.</w:t>
      </w:r>
    </w:p>
    <w:p>
      <w:pPr>
        <w:sectPr>
          <w:pgSz w:w="11900" w:h="16840" w:orient="portrait"/>
          <w:cols w:equalWidth="0" w:num="1">
            <w:col w:w="9340"/>
          </w:cols>
          <w:pgMar w:left="1280" w:top="557"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hanging="107"/>
        <w:spacing w:after="0" w:line="259" w:lineRule="auto"/>
        <w:rPr>
          <w:sz w:val="20"/>
          <w:szCs w:val="20"/>
          <w:color w:val="auto"/>
        </w:rPr>
      </w:pPr>
      <w:r>
        <w:rPr>
          <w:rFonts w:ascii="Times New Roman" w:cs="Times New Roman" w:eastAsia="Times New Roman" w:hAnsi="Times New Roman"/>
          <w:sz w:val="16"/>
          <w:szCs w:val="16"/>
          <w:color w:val="auto"/>
        </w:rPr>
        <w:t>Total amounts of consolidated statement of operations line items in which the effects of fair value and cash flow hedges are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5930265" cy="228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30265" cy="2286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Gains (losses) on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5930265" cy="114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5930265"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4" w:lineRule="auto"/>
        <w:rPr>
          <w:sz w:val="20"/>
          <w:szCs w:val="20"/>
          <w:color w:val="auto"/>
        </w:rPr>
      </w:pPr>
      <w:r>
        <w:rPr>
          <w:rFonts w:ascii="Times New Roman" w:cs="Times New Roman" w:eastAsia="Times New Roman" w:hAnsi="Times New Roman"/>
          <w:sz w:val="16"/>
          <w:szCs w:val="16"/>
          <w:color w:val="auto"/>
        </w:rPr>
        <w:t>Gain recognized on hedged item</w:t>
      </w:r>
    </w:p>
    <w:p>
      <w:pPr>
        <w:ind w:left="100"/>
        <w:spacing w:after="0" w:line="235" w:lineRule="auto"/>
        <w:rPr>
          <w:sz w:val="20"/>
          <w:szCs w:val="20"/>
          <w:color w:val="auto"/>
        </w:rPr>
      </w:pPr>
      <w:r>
        <w:rPr>
          <w:rFonts w:ascii="Times New Roman" w:cs="Times New Roman" w:eastAsia="Times New Roman" w:hAnsi="Times New Roman"/>
          <w:sz w:val="16"/>
          <w:szCs w:val="16"/>
          <w:color w:val="auto"/>
        </w:rPr>
        <w:t>Loss recognized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930265"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5" w:lineRule="auto"/>
        <w:rPr>
          <w:sz w:val="20"/>
          <w:szCs w:val="20"/>
          <w:color w:val="auto"/>
        </w:rPr>
      </w:pPr>
      <w:r>
        <w:rPr>
          <w:rFonts w:ascii="Times New Roman" w:cs="Times New Roman" w:eastAsia="Times New Roman" w:hAnsi="Times New Roman"/>
          <w:sz w:val="16"/>
          <w:szCs w:val="16"/>
          <w:color w:val="auto"/>
        </w:rPr>
        <w:t>Amortization of hedged item basis adjustments</w:t>
      </w:r>
    </w:p>
    <w:p>
      <w:pPr>
        <w:ind w:left="100"/>
        <w:spacing w:after="0"/>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930265"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930265"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Gain recognized on hedged item</w:t>
      </w:r>
    </w:p>
    <w:p>
      <w:pPr>
        <w:ind w:left="100"/>
        <w:spacing w:after="0" w:line="234" w:lineRule="auto"/>
        <w:rPr>
          <w:sz w:val="20"/>
          <w:szCs w:val="20"/>
          <w:color w:val="auto"/>
        </w:rPr>
      </w:pPr>
      <w:r>
        <w:rPr>
          <w:rFonts w:ascii="Times New Roman" w:cs="Times New Roman" w:eastAsia="Times New Roman" w:hAnsi="Times New Roman"/>
          <w:sz w:val="16"/>
          <w:szCs w:val="16"/>
          <w:color w:val="auto"/>
        </w:rPr>
        <w:t>Loss recognized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930265"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5" w:lineRule="auto"/>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gain (loss) recognized for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5930265" cy="129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0265" cy="1295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Gains (losses) on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930265" cy="220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30265" cy="220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rate contracts: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2446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46655" cy="762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investment</w:t>
            </w:r>
          </w:p>
        </w:tc>
        <w:tc>
          <w:tcPr>
            <w:tcW w:w="8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capital gains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Benefits, claims</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 related</w:t>
            </w:r>
          </w:p>
        </w:tc>
        <w:tc>
          <w:tcPr>
            <w:tcW w:w="8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(losses) related 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and settlement</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 hedges of</w:t>
            </w:r>
          </w:p>
        </w:tc>
        <w:tc>
          <w:tcPr>
            <w:tcW w:w="8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hedges of fixed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expenses related</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fixed maturities,</w:t>
            </w:r>
          </w:p>
        </w:tc>
        <w:tc>
          <w:tcPr>
            <w:tcW w:w="8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to hedges of</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available-for-sale</w:t>
            </w:r>
          </w:p>
        </w:tc>
        <w:tc>
          <w:tcPr>
            <w:tcW w:w="8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available-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investment</w:t>
            </w:r>
          </w:p>
        </w:tc>
      </w:tr>
      <w:tr>
        <w:trPr>
          <w:trHeight w:val="170"/>
        </w:trPr>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and mortgage loans</w:t>
            </w:r>
          </w:p>
        </w:tc>
        <w:tc>
          <w:tcPr>
            <w:tcW w:w="8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contracts</w:t>
            </w:r>
          </w:p>
        </w:tc>
      </w:tr>
      <w:tr>
        <w:trPr>
          <w:trHeight w:val="166"/>
        </w:trPr>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318"/>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1,165.7</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(117.1)</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2,220.0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8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r>
      <w:tr>
        <w:trPr>
          <w:trHeight w:val="180"/>
        </w:trPr>
        <w:tc>
          <w:tcPr>
            <w:tcW w:w="100" w:type="dxa"/>
            <w:vAlign w:val="bottom"/>
          </w:tcPr>
          <w:p>
            <w:pPr>
              <w:spacing w:after="0"/>
              <w:rPr>
                <w:sz w:val="15"/>
                <w:szCs w:val="15"/>
                <w:color w:val="auto"/>
              </w:rPr>
            </w:pPr>
          </w:p>
        </w:tc>
        <w:tc>
          <w:tcPr>
            <w:tcW w:w="12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(26.1)</w:t>
            </w:r>
          </w:p>
        </w:tc>
        <w:tc>
          <w:tcPr>
            <w:tcW w:w="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w:t>
            </w:r>
          </w:p>
        </w:tc>
      </w:tr>
      <w:tr>
        <w:trPr>
          <w:trHeight w:val="180"/>
        </w:trPr>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05"/>
        </w:trPr>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r>
      <w:tr>
        <w:trPr>
          <w:trHeight w:val="515"/>
        </w:trPr>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100" w:type="dxa"/>
            <w:vAlign w:val="bottom"/>
          </w:tcPr>
          <w:p>
            <w:pPr>
              <w:spacing w:after="0"/>
              <w:rPr>
                <w:sz w:val="15"/>
                <w:szCs w:val="15"/>
                <w:color w:val="auto"/>
              </w:rPr>
            </w:pP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95"/>
        </w:trPr>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2"/>
        </w:trPr>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12.7</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93" w:lineRule="exact"/>
        <w:rPr>
          <w:sz w:val="20"/>
          <w:szCs w:val="20"/>
          <w:color w:val="auto"/>
        </w:rPr>
      </w:pPr>
    </w:p>
    <w:p>
      <w:pPr>
        <w:sectPr>
          <w:pgSz w:w="11900" w:h="16840" w:orient="portrait"/>
          <w:cols w:equalWidth="0" w:num="2">
            <w:col w:w="5300" w:space="180"/>
            <w:col w:w="3860"/>
          </w:cols>
          <w:pgMar w:left="1280" w:top="557" w:right="1280"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reclassified from AOCI on derivatives</w:t>
            </w:r>
          </w:p>
        </w:tc>
        <w:tc>
          <w:tcPr>
            <w:tcW w:w="17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center"/>
              <w:ind w:left="342"/>
              <w:spacing w:after="0"/>
              <w:rPr>
                <w:sz w:val="20"/>
                <w:szCs w:val="20"/>
                <w:color w:val="auto"/>
              </w:rPr>
            </w:pPr>
            <w:r>
              <w:rPr>
                <w:rFonts w:ascii="Times New Roman" w:cs="Times New Roman" w:eastAsia="Times New Roman" w:hAnsi="Times New Roman"/>
                <w:sz w:val="16"/>
                <w:szCs w:val="16"/>
                <w:b w:val="1"/>
                <w:bCs w:val="1"/>
                <w:color w:val="auto"/>
                <w:w w:val="99"/>
              </w:rPr>
              <w:t>0.7</w:t>
            </w:r>
          </w:p>
        </w:tc>
        <w:tc>
          <w:tcPr>
            <w:tcW w:w="700" w:type="dxa"/>
            <w:vAlign w:val="bottom"/>
            <w:gridSpan w:val="2"/>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Amounts related to periodic settlements on derivatives</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3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(0.1)</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Amounts related to periodic settlements on derivatives</w:t>
            </w:r>
          </w:p>
        </w:tc>
        <w:tc>
          <w:tcPr>
            <w:tcW w:w="12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8.5</w:t>
            </w: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2"/>
        </w:trPr>
        <w:tc>
          <w:tcPr>
            <w:tcW w:w="42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gain (loss) recognized for cash flow hedging relationships</w:t>
            </w:r>
          </w:p>
        </w:tc>
        <w:tc>
          <w:tcPr>
            <w:tcW w:w="1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center"/>
              <w:ind w:left="342"/>
              <w:spacing w:after="0" w:line="172" w:lineRule="exact"/>
              <w:rPr>
                <w:sz w:val="20"/>
                <w:szCs w:val="20"/>
                <w:color w:val="auto"/>
              </w:rPr>
            </w:pPr>
            <w:r>
              <w:rPr>
                <w:rFonts w:ascii="Times New Roman" w:cs="Times New Roman" w:eastAsia="Times New Roman" w:hAnsi="Times New Roman"/>
                <w:sz w:val="16"/>
                <w:szCs w:val="16"/>
                <w:b w:val="1"/>
                <w:bCs w:val="1"/>
                <w:color w:val="auto"/>
                <w:w w:val="99"/>
              </w:rPr>
              <w:t>9.1</w:t>
            </w: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ind w:left="44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0" w:type="dxa"/>
            <w:vAlign w:val="bottom"/>
            <w:vMerge w:val="restart"/>
          </w:tcPr>
          <w:p>
            <w:pPr>
              <w:jc w:val="right"/>
              <w:ind w:right="662"/>
              <w:spacing w:after="0"/>
              <w:rPr>
                <w:sz w:val="20"/>
                <w:szCs w:val="20"/>
                <w:color w:val="auto"/>
              </w:rPr>
            </w:pPr>
            <w:r>
              <w:rPr>
                <w:rFonts w:ascii="Times New Roman" w:cs="Times New Roman" w:eastAsia="Times New Roman" w:hAnsi="Times New Roman"/>
                <w:sz w:val="16"/>
                <w:szCs w:val="16"/>
                <w:color w:val="auto"/>
              </w:rPr>
              <w:t>42</w:t>
            </w: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2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type w:val="continuous"/>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12700</wp:posOffset>
            </wp:positionV>
            <wp:extent cx="24542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4275" cy="762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hanging="107"/>
        <w:spacing w:after="0" w:line="259" w:lineRule="auto"/>
        <w:rPr>
          <w:sz w:val="20"/>
          <w:szCs w:val="20"/>
          <w:color w:val="auto"/>
        </w:rPr>
      </w:pPr>
      <w:r>
        <w:rPr>
          <w:rFonts w:ascii="Times New Roman" w:cs="Times New Roman" w:eastAsia="Times New Roman" w:hAnsi="Times New Roman"/>
          <w:sz w:val="16"/>
          <w:szCs w:val="16"/>
          <w:color w:val="auto"/>
        </w:rPr>
        <w:t>Total amounts of consolidated statement of operations line items in which the effects of fair value and cash flow hedges are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5930265" cy="228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0265" cy="2286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Gains (losses) on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5930265"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5930265"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4" w:lineRule="auto"/>
        <w:rPr>
          <w:sz w:val="20"/>
          <w:szCs w:val="20"/>
          <w:color w:val="auto"/>
        </w:rPr>
      </w:pPr>
      <w:r>
        <w:rPr>
          <w:rFonts w:ascii="Times New Roman" w:cs="Times New Roman" w:eastAsia="Times New Roman" w:hAnsi="Times New Roman"/>
          <w:sz w:val="16"/>
          <w:szCs w:val="16"/>
          <w:color w:val="auto"/>
        </w:rPr>
        <w:t>Loss recognized on hedged item</w:t>
      </w:r>
    </w:p>
    <w:p>
      <w:pPr>
        <w:ind w:left="100"/>
        <w:spacing w:after="0" w:line="235" w:lineRule="auto"/>
        <w:rPr>
          <w:sz w:val="20"/>
          <w:szCs w:val="20"/>
          <w:color w:val="auto"/>
        </w:rPr>
      </w:pPr>
      <w:r>
        <w:rPr>
          <w:rFonts w:ascii="Times New Roman" w:cs="Times New Roman" w:eastAsia="Times New Roman" w:hAnsi="Times New Roman"/>
          <w:sz w:val="16"/>
          <w:szCs w:val="16"/>
          <w:color w:val="auto"/>
        </w:rPr>
        <w:t>Gain recognized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930265"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5" w:lineRule="auto"/>
        <w:rPr>
          <w:sz w:val="20"/>
          <w:szCs w:val="20"/>
          <w:color w:val="auto"/>
        </w:rPr>
      </w:pPr>
      <w:r>
        <w:rPr>
          <w:rFonts w:ascii="Times New Roman" w:cs="Times New Roman" w:eastAsia="Times New Roman" w:hAnsi="Times New Roman"/>
          <w:sz w:val="16"/>
          <w:szCs w:val="16"/>
          <w:color w:val="auto"/>
        </w:rPr>
        <w:t>Amortization of hedged item basis adjustments</w:t>
      </w:r>
    </w:p>
    <w:p>
      <w:pPr>
        <w:ind w:left="100"/>
        <w:spacing w:after="0"/>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5930265" cy="11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930265"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Loss recognized on hedged item</w:t>
      </w:r>
    </w:p>
    <w:p>
      <w:pPr>
        <w:ind w:left="100"/>
        <w:spacing w:after="0" w:line="234" w:lineRule="auto"/>
        <w:rPr>
          <w:sz w:val="20"/>
          <w:szCs w:val="20"/>
          <w:color w:val="auto"/>
        </w:rPr>
      </w:pPr>
      <w:r>
        <w:rPr>
          <w:rFonts w:ascii="Times New Roman" w:cs="Times New Roman" w:eastAsia="Times New Roman" w:hAnsi="Times New Roman"/>
          <w:sz w:val="16"/>
          <w:szCs w:val="16"/>
          <w:color w:val="auto"/>
        </w:rPr>
        <w:t>Gain recognized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930265" cy="114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line="235" w:lineRule="auto"/>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gain (loss) recognized for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5930265" cy="129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30265" cy="1295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Gains on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930265" cy="114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rate contracts:</w:t>
      </w:r>
    </w:p>
    <w:p>
      <w:pPr>
        <w:ind w:left="100"/>
        <w:spacing w:after="0" w:line="234" w:lineRule="auto"/>
        <w:rPr>
          <w:sz w:val="20"/>
          <w:szCs w:val="20"/>
          <w:color w:val="auto"/>
        </w:rPr>
      </w:pPr>
      <w:r>
        <w:rPr>
          <w:rFonts w:ascii="Times New Roman" w:cs="Times New Roman" w:eastAsia="Times New Roman" w:hAnsi="Times New Roman"/>
          <w:sz w:val="16"/>
          <w:szCs w:val="16"/>
          <w:color w:val="auto"/>
        </w:rPr>
        <w:t>Gain reclassified from AOCI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5930265" cy="114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5930265" cy="11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jc w:val="center"/>
        <w:ind w:right="1700"/>
        <w:spacing w:after="0"/>
        <w:rPr>
          <w:sz w:val="20"/>
          <w:szCs w:val="20"/>
          <w:color w:val="auto"/>
        </w:rPr>
      </w:pPr>
      <w:r>
        <w:rPr>
          <w:rFonts w:ascii="Times New Roman" w:cs="Times New Roman" w:eastAsia="Times New Roman" w:hAnsi="Times New Roman"/>
          <w:sz w:val="16"/>
          <w:szCs w:val="16"/>
          <w:color w:val="auto"/>
        </w:rPr>
        <w:t>Amounts related to periodic settlements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5930265" cy="129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30265" cy="129540"/>
                    </a:xfrm>
                    <a:prstGeom prst="rect">
                      <a:avLst/>
                    </a:prstGeom>
                    <a:noFill/>
                  </pic:spPr>
                </pic:pic>
              </a:graphicData>
            </a:graphic>
          </wp:anchor>
        </w:drawing>
      </w:r>
    </w:p>
    <w:p>
      <w:pPr>
        <w:jc w:val="center"/>
        <w:ind w:right="1700"/>
        <w:spacing w:after="0"/>
        <w:rPr>
          <w:sz w:val="20"/>
          <w:szCs w:val="20"/>
          <w:color w:val="auto"/>
        </w:rPr>
      </w:pPr>
      <w:r>
        <w:rPr>
          <w:rFonts w:ascii="Times New Roman" w:cs="Times New Roman" w:eastAsia="Times New Roman" w:hAnsi="Times New Roman"/>
          <w:sz w:val="14"/>
          <w:szCs w:val="14"/>
          <w:color w:val="auto"/>
        </w:rPr>
        <w:t>Total gain recognized for cash flow hedging relationships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Investment Hedges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8"/>
              </w:rPr>
              <w:t>Net realized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investment</w:t>
            </w:r>
          </w:p>
        </w:tc>
        <w:tc>
          <w:tcPr>
            <w:tcW w:w="100" w:type="dxa"/>
            <w:vAlign w:val="bottom"/>
          </w:tcPr>
          <w:p>
            <w:pPr>
              <w:spacing w:after="0"/>
              <w:rPr>
                <w:sz w:val="13"/>
                <w:szCs w:val="13"/>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capital gains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Benefits, claims</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 related</w:t>
            </w:r>
          </w:p>
        </w:tc>
        <w:tc>
          <w:tcPr>
            <w:tcW w:w="100" w:type="dxa"/>
            <w:vAlign w:val="bottom"/>
          </w:tcPr>
          <w:p>
            <w:pPr>
              <w:spacing w:after="0"/>
              <w:rPr>
                <w:sz w:val="13"/>
                <w:szCs w:val="13"/>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(losses) related to</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and settlement</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 hedges of</w:t>
            </w:r>
          </w:p>
        </w:tc>
        <w:tc>
          <w:tcPr>
            <w:tcW w:w="10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hedges of fixed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expenses related</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fixed maturities,</w:t>
            </w:r>
          </w:p>
        </w:tc>
        <w:tc>
          <w:tcPr>
            <w:tcW w:w="100" w:type="dxa"/>
            <w:vAlign w:val="bottom"/>
          </w:tcPr>
          <w:p>
            <w:pPr>
              <w:spacing w:after="0"/>
              <w:rPr>
                <w:sz w:val="13"/>
                <w:szCs w:val="13"/>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to hedges of</w:t>
            </w:r>
          </w:p>
        </w:tc>
      </w:tr>
      <w:tr>
        <w:trPr>
          <w:trHeight w:val="156"/>
        </w:trPr>
        <w:tc>
          <w:tcPr>
            <w:tcW w:w="1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available-for-sale</w:t>
            </w:r>
          </w:p>
        </w:tc>
        <w:tc>
          <w:tcPr>
            <w:tcW w:w="100" w:type="dxa"/>
            <w:vAlign w:val="bottom"/>
          </w:tcPr>
          <w:p>
            <w:pPr>
              <w:spacing w:after="0"/>
              <w:rPr>
                <w:sz w:val="13"/>
                <w:szCs w:val="13"/>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available-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investment</w:t>
            </w:r>
          </w:p>
        </w:tc>
      </w:tr>
      <w:tr>
        <w:trPr>
          <w:trHeight w:val="170"/>
        </w:trPr>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and mortgage loans</w:t>
            </w:r>
          </w:p>
        </w:tc>
        <w:tc>
          <w:tcPr>
            <w:tcW w:w="1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contracts</w:t>
            </w:r>
          </w:p>
        </w:tc>
      </w:tr>
      <w:tr>
        <w:trPr>
          <w:trHeight w:val="166"/>
        </w:trPr>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318"/>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83"/>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180"/>
        </w:trPr>
        <w:tc>
          <w:tcPr>
            <w:tcW w:w="1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w:t>
            </w:r>
          </w:p>
        </w:tc>
      </w:tr>
      <w:tr>
        <w:trPr>
          <w:trHeight w:val="180"/>
        </w:trPr>
        <w:tc>
          <w:tcPr>
            <w:tcW w:w="1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517"/>
        </w:trPr>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100" w:type="dxa"/>
            <w:vAlign w:val="bottom"/>
          </w:tcPr>
          <w:p>
            <w:pPr>
              <w:spacing w:after="0"/>
              <w:rPr>
                <w:sz w:val="15"/>
                <w:szCs w:val="15"/>
                <w:color w:val="auto"/>
              </w:rPr>
            </w:pPr>
          </w:p>
        </w:tc>
        <w:tc>
          <w:tcPr>
            <w:tcW w:w="12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3"/>
        </w:trPr>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17.0</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83"/>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530"/>
        </w:trPr>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39" w:lineRule="exact"/>
        <w:rPr>
          <w:sz w:val="20"/>
          <w:szCs w:val="20"/>
          <w:color w:val="auto"/>
        </w:rPr>
      </w:pPr>
    </w:p>
    <w:p>
      <w:pPr>
        <w:sectPr>
          <w:pgSz w:w="11900" w:h="16840" w:orient="portrait"/>
          <w:cols w:equalWidth="0" w:num="2">
            <w:col w:w="5300" w:space="180"/>
            <w:col w:w="3860"/>
          </w:cols>
          <w:pgMar w:left="1280" w:top="557" w:right="1280" w:bottom="1440" w:gutter="0" w:footer="0" w:header="0"/>
          <w:type w:val="continuous"/>
        </w:sect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We may take measures to hedge our net equity investments in our foreign operations from currency risk. This is accomplished with the use of currency forwards.</w:t>
      </w:r>
    </w:p>
    <w:p>
      <w:pPr>
        <w:spacing w:after="0" w:line="155"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Gains and losses associated with net investment hedges are recorded in AOCI and will be released into net income if our investment in the foreign operation is sold or substantially liquidated.</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4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shows the effect of foreign exchange contracts used to hedge a portion of our net investment in certain sponsored investment funds on the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jc w:val="center"/>
              <w:ind w:left="391"/>
              <w:spacing w:after="0"/>
              <w:rPr>
                <w:sz w:val="20"/>
                <w:szCs w:val="20"/>
                <w:color w:val="auto"/>
              </w:rPr>
            </w:pPr>
            <w:r>
              <w:rPr>
                <w:rFonts w:ascii="Times New Roman" w:cs="Times New Roman" w:eastAsia="Times New Roman" w:hAnsi="Times New Roman"/>
                <w:sz w:val="13"/>
                <w:szCs w:val="13"/>
                <w:b w:val="1"/>
                <w:bCs w:val="1"/>
                <w:color w:val="auto"/>
              </w:rPr>
              <w:t>Amount of loss</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4"/>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Amount of gain (loss)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4"/>
          </w:tcPr>
          <w:p>
            <w:pPr>
              <w:jc w:val="center"/>
              <w:ind w:right="246"/>
              <w:spacing w:after="0"/>
              <w:rPr>
                <w:sz w:val="20"/>
                <w:szCs w:val="20"/>
                <w:color w:val="auto"/>
              </w:rPr>
            </w:pPr>
            <w:r>
              <w:rPr>
                <w:rFonts w:ascii="Times New Roman" w:cs="Times New Roman" w:eastAsia="Times New Roman" w:hAnsi="Times New Roman"/>
                <w:sz w:val="13"/>
                <w:szCs w:val="13"/>
                <w:b w:val="1"/>
                <w:bCs w:val="1"/>
                <w:color w:val="auto"/>
              </w:rPr>
              <w:t>reclassified from AOCI into</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4"/>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recognized in AOCI on derivatives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4"/>
          </w:tcPr>
          <w:p>
            <w:pPr>
              <w:jc w:val="center"/>
              <w:ind w:right="246"/>
              <w:spacing w:after="0"/>
              <w:rPr>
                <w:sz w:val="20"/>
                <w:szCs w:val="20"/>
                <w:color w:val="auto"/>
              </w:rPr>
            </w:pPr>
            <w:r>
              <w:rPr>
                <w:rFonts w:ascii="Times New Roman" w:cs="Times New Roman" w:eastAsia="Times New Roman" w:hAnsi="Times New Roman"/>
                <w:sz w:val="13"/>
                <w:szCs w:val="13"/>
                <w:b w:val="1"/>
                <w:bCs w:val="1"/>
                <w:color w:val="auto"/>
              </w:rPr>
              <w:t>net realized capital gains (losses)</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4"/>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4"/>
          </w:tcPr>
          <w:p>
            <w:pPr>
              <w:jc w:val="center"/>
              <w:ind w:right="24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70"/>
        </w:trPr>
        <w:tc>
          <w:tcPr>
            <w:tcW w:w="4040" w:type="dxa"/>
            <w:vAlign w:val="bottom"/>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Derivatives in net investment hedging relationships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3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1"/>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8"/>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6"/>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5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540" w:type="dxa"/>
            <w:vAlign w:val="bottom"/>
            <w:gridSpan w:val="2"/>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50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ind w:left="5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2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40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ind w:left="58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ind w:left="56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p>
      <w:pPr>
        <w:spacing w:after="0" w:line="190"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color w:val="auto"/>
        </w:rPr>
        <w:t>We use futures, certain swaptions and swaps, option collars, options and forwards in effective economic hedges that have not been designated as hedges for financial reporting purposes. As such, periodic changes in the market value of these instruments, which includes mark-to-market gains and losses as well as periodic and final settlements, primarily flow directly into net realized capital gains (losses) on the consolidated statements of operations. However, the change in fair value of the funds withheld embedded derivative is separately reported on the consolidated statements of operations. Additionally, mark-to -market gains and losses as well as periodic and final settlements for derivatives used to hedge market risk benefits are reported in market risk benefit (gain) loss on the consolidated statements of operations.</w:t>
      </w:r>
    </w:p>
    <w:p>
      <w:pPr>
        <w:spacing w:after="0" w:line="173"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 shows the effect of derivatives not designated as hedging instruments, including fair value changes of embedded derivatives that have been bifurcated from the host contract, on the consolidated statements of operations and are net of amounts on funds withheld invested assets that are passed directly to the reinsurer. See Note 11, Reinsurance, for further details.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 of gain (loss) recognized in</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net income on derivatives for the</w:t>
            </w:r>
          </w:p>
        </w:tc>
        <w:tc>
          <w:tcPr>
            <w:tcW w:w="0" w:type="dxa"/>
            <w:vAlign w:val="bottom"/>
          </w:tcPr>
          <w:p>
            <w:pPr>
              <w:spacing w:after="0"/>
              <w:rPr>
                <w:sz w:val="1"/>
                <w:szCs w:val="1"/>
                <w:color w:val="auto"/>
              </w:rPr>
            </w:pPr>
          </w:p>
        </w:tc>
      </w:tr>
      <w:tr>
        <w:trPr>
          <w:trHeight w:val="170"/>
        </w:trPr>
        <w:tc>
          <w:tcPr>
            <w:tcW w:w="660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8"/>
        </w:trPr>
        <w:tc>
          <w:tcPr>
            <w:tcW w:w="660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7"/>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3"/>
          </w:tcPr>
          <w:p>
            <w:pPr>
              <w:jc w:val="right"/>
              <w:ind w:right="44"/>
              <w:spacing w:after="0" w:line="148"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contracts</w:t>
            </w:r>
          </w:p>
        </w:tc>
        <w:tc>
          <w:tcPr>
            <w:tcW w:w="380" w:type="dxa"/>
            <w:vAlign w:val="bottom"/>
            <w:gridSpan w:val="3"/>
            <w:shd w:val="clear" w:color="auto" w:fill="CCEEFF"/>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(38.6)</w:t>
            </w:r>
          </w:p>
        </w:tc>
        <w:tc>
          <w:tcPr>
            <w:tcW w:w="440" w:type="dxa"/>
            <w:vAlign w:val="bottom"/>
            <w:gridSpan w:val="2"/>
            <w:shd w:val="clear" w:color="auto" w:fill="CCEEFF"/>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80"/>
        </w:trPr>
        <w:tc>
          <w:tcPr>
            <w:tcW w:w="66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180"/>
        </w:trPr>
        <w:tc>
          <w:tcPr>
            <w:tcW w:w="6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contracts</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66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Credit contracts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6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contracts (1)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172"/>
        </w:trPr>
        <w:tc>
          <w:tcPr>
            <w:tcW w:w="66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the change in fair value of the funds withheld embedded derivative.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Deferred Acquisition Costs and Other Actuarial Balances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Acquisition Costs</w:t>
      </w:r>
    </w:p>
    <w:p>
      <w:pPr>
        <w:spacing w:after="0" w:line="19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Incremental direct costs of contract acquisition as well as certain costs directly related to acquisition activities (underwriting, policy issuance and processing, medical and inspection and sales force contract selling) for the successful acquisition of new and renewal insurance policies and investment contracts are capitalized in the period they are incurred. Maintenance costs and acquisition costs that are not deferrable are charged to operating expenses as incurred.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20" w:firstLine="576"/>
        <w:spacing w:after="0" w:line="289" w:lineRule="auto"/>
        <w:rPr>
          <w:sz w:val="20"/>
          <w:szCs w:val="20"/>
          <w:color w:val="auto"/>
        </w:rPr>
      </w:pPr>
      <w:r>
        <w:rPr>
          <w:rFonts w:ascii="Times New Roman" w:cs="Times New Roman" w:eastAsia="Times New Roman" w:hAnsi="Times New Roman"/>
          <w:sz w:val="14"/>
          <w:szCs w:val="14"/>
          <w:color w:val="auto"/>
        </w:rPr>
        <w:t>For our long-duration insurance products and certain investment contracts, DAC is amortized on a constant level basis over the expected life of the contracts using groupings and assumptions consistent with those used in computing policyholder liabilities. For each of our long-duration insurance products, we select an inforce measure as a basis for amortization that will result in a constant level amortization pattern for the expected life of the contract. If our actual contract terminations differ from our expectation, the amortization pattern is adjusted on a prospective basis.</w:t>
      </w:r>
    </w:p>
    <w:p>
      <w:pPr>
        <w:spacing w:after="0" w:line="137"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Some of our life and disability products within the Benefits and Protection segment have renewal commissions resulting in new DAC capitalizations in the years following the initial capitalization. We also have life products that allow for underwritten death benefit increases and cost of living adjustments, resulting in an immaterial amount of new DAC capitalizations each year. The new capitalizations are added to the existing DAC balance when incurred and amortized over the remaining life of the business.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DAC on short-duration group benefits contracts is amortized over the estimated life of the underlying contracts.</w:t>
      </w:r>
    </w:p>
    <w:p>
      <w:pPr>
        <w:spacing w:after="0" w:line="18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We review and update actuarial experience assumptions (such as mortality, surrenders, lapse, and premium persistency) serving as inputs to the models that establish the expected life for DAC and other actuarial balances during the third quarter of each year, or more frequently if evidence suggests assumptions should be revised. We make model refinements as necessary, and any changes resulting from these assumption updates are applied prospectively.</w:t>
      </w:r>
    </w:p>
    <w:p>
      <w:pPr>
        <w:spacing w:after="0" w:line="167" w:lineRule="exact"/>
        <w:rPr>
          <w:sz w:val="20"/>
          <w:szCs w:val="20"/>
          <w:color w:val="auto"/>
        </w:rPr>
      </w:pPr>
    </w:p>
    <w:p>
      <w:pPr>
        <w:ind w:right="300" w:firstLine="576"/>
        <w:spacing w:after="0" w:line="331" w:lineRule="auto"/>
        <w:rPr>
          <w:sz w:val="20"/>
          <w:szCs w:val="20"/>
          <w:color w:val="auto"/>
        </w:rPr>
      </w:pPr>
      <w:r>
        <w:rPr>
          <w:rFonts w:ascii="Times New Roman" w:cs="Times New Roman" w:eastAsia="Times New Roman" w:hAnsi="Times New Roman"/>
          <w:sz w:val="14"/>
          <w:szCs w:val="14"/>
          <w:color w:val="auto"/>
        </w:rPr>
        <w:t>DAC amortization expense of $98.5 million and $97.3 million related to our long-duration and short-duration contracts was recorded in operating expenses on the consolidated statements of operations for the three months ended March 31, 2025 and 2024, respectively.</w:t>
      </w:r>
    </w:p>
    <w:p>
      <w:pPr>
        <w:spacing w:after="0" w:line="108"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disaggregated DAC amounts and reconcile the totals to those reported in the consolidated statements of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3"/>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center"/>
              <w:ind w:right="128"/>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720" w:type="dxa"/>
            <w:vAlign w:val="bottom"/>
          </w:tcPr>
          <w:p>
            <w:pPr>
              <w:spacing w:after="0"/>
              <w:rPr>
                <w:sz w:val="11"/>
                <w:szCs w:val="11"/>
                <w:color w:val="auto"/>
              </w:rPr>
            </w:pPr>
          </w:p>
        </w:tc>
      </w:tr>
      <w:tr>
        <w:trPr>
          <w:trHeight w:val="180"/>
        </w:trPr>
        <w:tc>
          <w:tcPr>
            <w:tcW w:w="68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68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Workplace savings and retirement solutions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519.4</w:t>
            </w:r>
          </w:p>
        </w:tc>
        <w:tc>
          <w:tcPr>
            <w:tcW w:w="620" w:type="dxa"/>
            <w:vAlign w:val="bottom"/>
            <w:gridSpan w:val="2"/>
          </w:tcPr>
          <w:p>
            <w:pPr>
              <w:jc w:val="center"/>
              <w:ind w:right="10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515.5</w:t>
            </w:r>
          </w:p>
        </w:tc>
      </w:tr>
      <w:tr>
        <w:trPr>
          <w:trHeight w:val="180"/>
        </w:trPr>
        <w:tc>
          <w:tcPr>
            <w:tcW w:w="68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variable annuities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337.2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323.4</w:t>
            </w:r>
          </w:p>
        </w:tc>
      </w:tr>
      <w:tr>
        <w:trPr>
          <w:trHeight w:val="180"/>
        </w:trPr>
        <w:tc>
          <w:tcPr>
            <w:tcW w:w="68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Pension risk transfer</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r>
      <w:tr>
        <w:trPr>
          <w:trHeight w:val="180"/>
        </w:trPr>
        <w:tc>
          <w:tcPr>
            <w:tcW w:w="68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fixed deferred annuities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84.2</w:t>
            </w:r>
          </w:p>
        </w:tc>
      </w:tr>
      <w:tr>
        <w:trPr>
          <w:trHeight w:val="180"/>
        </w:trPr>
        <w:tc>
          <w:tcPr>
            <w:tcW w:w="686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only</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13.0</w:t>
            </w:r>
          </w:p>
        </w:tc>
      </w:tr>
      <w:tr>
        <w:trPr>
          <w:trHeight w:val="172"/>
        </w:trPr>
        <w:tc>
          <w:tcPr>
            <w:tcW w:w="68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Retirement and Income Solutions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971.5</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957.2</w:t>
            </w:r>
          </w:p>
        </w:tc>
      </w:tr>
      <w:tr>
        <w:trPr>
          <w:trHeight w:val="180"/>
        </w:trPr>
        <w:tc>
          <w:tcPr>
            <w:tcW w:w="68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68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68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disability</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701.9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696.9</w:t>
            </w:r>
          </w:p>
        </w:tc>
      </w:tr>
      <w:tr>
        <w:trPr>
          <w:trHeight w:val="180"/>
        </w:trPr>
        <w:tc>
          <w:tcPr>
            <w:tcW w:w="68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68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1,525.9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1,527.7</w:t>
            </w:r>
          </w:p>
        </w:tc>
      </w:tr>
      <w:tr>
        <w:trPr>
          <w:trHeight w:val="180"/>
        </w:trPr>
        <w:tc>
          <w:tcPr>
            <w:tcW w:w="686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Term life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713.1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710.8</w:t>
            </w:r>
          </w:p>
        </w:tc>
      </w:tr>
      <w:tr>
        <w:trPr>
          <w:trHeight w:val="180"/>
        </w:trPr>
        <w:tc>
          <w:tcPr>
            <w:tcW w:w="6860" w:type="dxa"/>
            <w:vAlign w:val="bottom"/>
            <w:tcBorders>
              <w:bottom w:val="single" w:sz="8" w:color="CCEEFF"/>
            </w:tcBorders>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Participating life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77.8</w:t>
            </w:r>
          </w:p>
        </w:tc>
      </w:tr>
      <w:tr>
        <w:trPr>
          <w:trHeight w:val="172"/>
        </w:trPr>
        <w:tc>
          <w:tcPr>
            <w:tcW w:w="68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Benefits and Protection</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3,016.9</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3,013.2</w:t>
            </w:r>
          </w:p>
        </w:tc>
      </w:tr>
      <w:tr>
        <w:trPr>
          <w:trHeight w:val="180"/>
        </w:trPr>
        <w:tc>
          <w:tcPr>
            <w:tcW w:w="68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Short-duration contracts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r>
      <w:tr>
        <w:trPr>
          <w:trHeight w:val="180"/>
        </w:trPr>
        <w:tc>
          <w:tcPr>
            <w:tcW w:w="68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balances (1)</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172"/>
        </w:trPr>
        <w:tc>
          <w:tcPr>
            <w:tcW w:w="68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DAC per consolidated statements of financial position</w:t>
            </w: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4,034.1</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center"/>
              <w:ind w:right="288"/>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4,006.9</w:t>
            </w:r>
          </w:p>
        </w:tc>
      </w:tr>
      <w:tr>
        <w:trPr>
          <w:trHeight w:val="20"/>
        </w:trPr>
        <w:tc>
          <w:tcPr>
            <w:tcW w:w="2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insignificant balances for long-duration contracts.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balances and changes in DAC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Workplace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savings 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risk</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annuities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transfer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annuities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only</w:t>
            </w: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5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Balances as of January 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506.4</w:t>
            </w: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center"/>
              <w:ind w:lef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106.1</w:t>
            </w:r>
          </w:p>
        </w:tc>
        <w:tc>
          <w:tcPr>
            <w:tcW w:w="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80"/>
        </w:trPr>
        <w:tc>
          <w:tcPr>
            <w:tcW w:w="4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Costs deferred</w:t>
            </w: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Amortized to expense</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72"/>
        </w:trPr>
        <w:tc>
          <w:tcPr>
            <w:tcW w:w="404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December 31, 2024</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515.5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21.1</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60"/>
              <w:spacing w:after="0" w:line="172" w:lineRule="exact"/>
              <w:rPr>
                <w:sz w:val="20"/>
                <w:szCs w:val="20"/>
                <w:color w:val="auto"/>
              </w:rPr>
            </w:pPr>
            <w:r>
              <w:rPr>
                <w:rFonts w:ascii="Times New Roman" w:cs="Times New Roman" w:eastAsia="Times New Roman" w:hAnsi="Times New Roman"/>
                <w:sz w:val="16"/>
                <w:szCs w:val="16"/>
                <w:color w:val="auto"/>
              </w:rPr>
              <w:t>84.2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Costs deferred</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Amortized to expense</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March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519.4</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337.2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22.3</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79.8</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balances and changes in DAC were as follows: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Specialty Benefits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Life Insurance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Universal life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Term life</w:t>
            </w:r>
          </w:p>
        </w:tc>
        <w:tc>
          <w:tcPr>
            <w:tcW w:w="140" w:type="dxa"/>
            <w:vAlign w:val="bottom"/>
            <w:gridSpan w:val="2"/>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Participating life</w:t>
            </w: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5"/>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000" w:type="dxa"/>
            <w:vAlign w:val="bottom"/>
            <w:gridSpan w:val="5"/>
          </w:tcPr>
          <w:p>
            <w:pPr>
              <w:jc w:val="center"/>
              <w:ind w:right="526"/>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1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Balances as of January 1, 2024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667.7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1,545.3</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695.1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180"/>
        </w:trPr>
        <w:tc>
          <w:tcPr>
            <w:tcW w:w="4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Costs deferred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Amortized to expense</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(94.3)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72"/>
        </w:trPr>
        <w:tc>
          <w:tcPr>
            <w:tcW w:w="404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December 31, 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696.9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1,527.7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710.8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Costs deferred</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18.3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0" w:type="dxa"/>
            <w:vAlign w:val="bottom"/>
          </w:tcPr>
          <w:p>
            <w:pPr>
              <w:spacing w:after="0"/>
              <w:rPr>
                <w:sz w:val="1"/>
                <w:szCs w:val="1"/>
                <w:color w:val="auto"/>
              </w:rPr>
            </w:pPr>
          </w:p>
        </w:tc>
      </w:tr>
      <w:tr>
        <w:trPr>
          <w:trHeight w:val="180"/>
        </w:trPr>
        <w:tc>
          <w:tcPr>
            <w:tcW w:w="40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Amortized to expense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(13.3)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(15.6)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172"/>
        </w:trPr>
        <w:tc>
          <w:tcPr>
            <w:tcW w:w="40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Balances as of March 31, 2025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gridSpan w:val="2"/>
            <w:shd w:val="clear" w:color="auto" w:fill="CCEEFF"/>
          </w:tcPr>
          <w:p>
            <w:pPr>
              <w:jc w:val="right"/>
              <w:ind w:right="64"/>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auto"/>
              </w:rPr>
              <w:t>701.9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1,525.9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713.1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76.0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Unearned Revenue Liability</w:t>
      </w:r>
    </w:p>
    <w:p>
      <w:pPr>
        <w:spacing w:after="0" w:line="190"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6"/>
          <w:szCs w:val="16"/>
          <w:color w:val="auto"/>
        </w:rPr>
        <w:t>An unearned revenue liability is established when we collect fees or other policyholder assessments, inclusive of cost of insurance charges, administrative charges and other similar fees, for services to be provided in future periods. These unearned front-end fees are deferred and the amortization is recorded using an approach consistent with DAC.</w:t>
      </w:r>
    </w:p>
    <w:p>
      <w:pPr>
        <w:spacing w:after="0" w:line="164" w:lineRule="exact"/>
        <w:rPr>
          <w:sz w:val="20"/>
          <w:szCs w:val="20"/>
          <w:color w:val="auto"/>
        </w:rPr>
      </w:pPr>
    </w:p>
    <w:p>
      <w:pPr>
        <w:jc w:val="both"/>
        <w:ind w:right="600" w:firstLine="576"/>
        <w:spacing w:after="0" w:line="247" w:lineRule="auto"/>
        <w:rPr>
          <w:sz w:val="20"/>
          <w:szCs w:val="20"/>
          <w:color w:val="auto"/>
        </w:rPr>
      </w:pPr>
      <w:r>
        <w:rPr>
          <w:rFonts w:ascii="Times New Roman" w:cs="Times New Roman" w:eastAsia="Times New Roman" w:hAnsi="Times New Roman"/>
          <w:sz w:val="16"/>
          <w:szCs w:val="16"/>
          <w:color w:val="auto"/>
        </w:rPr>
        <w:t>The unearned revenue liability is included within other policyholder funds in the consolidated statements of financial position. The following table summarizes disaggregated unearned revenue liability amounts and reconciles the totals to those reported in the consolidated statements of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720" w:type="dxa"/>
            <w:vAlign w:val="bottom"/>
            <w:gridSpan w:val="2"/>
          </w:tcPr>
          <w:p>
            <w:pPr>
              <w:jc w:val="right"/>
              <w:ind w:right="208"/>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680" w:type="dxa"/>
            <w:vAlign w:val="bottom"/>
          </w:tcPr>
          <w:p>
            <w:pPr>
              <w:spacing w:after="0"/>
              <w:rPr>
                <w:sz w:val="11"/>
                <w:szCs w:val="11"/>
                <w:color w:val="auto"/>
              </w:rPr>
            </w:pPr>
          </w:p>
        </w:tc>
      </w:tr>
      <w:tr>
        <w:trPr>
          <w:trHeight w:val="180"/>
        </w:trPr>
        <w:tc>
          <w:tcPr>
            <w:tcW w:w="67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 - Life Insurance: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0"/>
        </w:trPr>
        <w:tc>
          <w:tcPr>
            <w:tcW w:w="67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516.6</w:t>
            </w:r>
          </w:p>
        </w:tc>
        <w:tc>
          <w:tcPr>
            <w:tcW w:w="720" w:type="dxa"/>
            <w:vAlign w:val="bottom"/>
            <w:gridSpan w:val="2"/>
          </w:tcPr>
          <w:p>
            <w:pPr>
              <w:jc w:val="right"/>
              <w:ind w:right="3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510.1</w:t>
            </w:r>
          </w:p>
        </w:tc>
      </w:tr>
      <w:tr>
        <w:trPr>
          <w:trHeight w:val="180"/>
        </w:trPr>
        <w:tc>
          <w:tcPr>
            <w:tcW w:w="67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balances (1)</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w:t>
            </w:r>
          </w:p>
        </w:tc>
        <w:tc>
          <w:tcPr>
            <w:tcW w:w="2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72"/>
        </w:trPr>
        <w:tc>
          <w:tcPr>
            <w:tcW w:w="67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unearned revenue liability</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521.8</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ind w:right="36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515.4</w:t>
            </w:r>
          </w:p>
        </w:tc>
      </w:tr>
      <w:tr>
        <w:trPr>
          <w:trHeight w:val="20"/>
        </w:trPr>
        <w:tc>
          <w:tcPr>
            <w:tcW w:w="2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insignificant balances for long-duration contracts.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balances and changes in the unearned revenue liability for Life Insurance – Universal life contracts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360" w:type="dxa"/>
            <w:vAlign w:val="bottom"/>
          </w:tcPr>
          <w:p>
            <w:pPr>
              <w:spacing w:after="0"/>
              <w:rPr>
                <w:sz w:val="11"/>
                <w:szCs w:val="11"/>
                <w:color w:val="auto"/>
              </w:rPr>
            </w:pPr>
          </w:p>
        </w:tc>
      </w:tr>
      <w:tr>
        <w:trPr>
          <w:trHeight w:val="180"/>
        </w:trPr>
        <w:tc>
          <w:tcPr>
            <w:tcW w:w="5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510.1</w:t>
            </w:r>
          </w:p>
        </w:tc>
        <w:tc>
          <w:tcPr>
            <w:tcW w:w="3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485.5</w:t>
            </w:r>
          </w:p>
        </w:tc>
      </w:tr>
      <w:tr>
        <w:trPr>
          <w:trHeight w:val="180"/>
        </w:trPr>
        <w:tc>
          <w:tcPr>
            <w:tcW w:w="5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Deferrals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56.1</w:t>
            </w:r>
          </w:p>
        </w:tc>
      </w:tr>
      <w:tr>
        <w:trPr>
          <w:trHeight w:val="180"/>
        </w:trPr>
        <w:tc>
          <w:tcPr>
            <w:tcW w:w="58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Revenue recognized</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w:t>
            </w:r>
          </w:p>
        </w:tc>
      </w:tr>
      <w:tr>
        <w:trPr>
          <w:trHeight w:val="172"/>
        </w:trPr>
        <w:tc>
          <w:tcPr>
            <w:tcW w:w="58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516.6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510.1</w:t>
            </w:r>
          </w:p>
        </w:tc>
      </w:tr>
      <w:tr>
        <w:trPr>
          <w:trHeight w:val="180"/>
        </w:trPr>
        <w:tc>
          <w:tcPr>
            <w:tcW w:w="5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Reinsurance impact</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(219.6)</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(220.8)</w:t>
            </w:r>
          </w:p>
        </w:tc>
      </w:tr>
      <w:tr>
        <w:trPr>
          <w:trHeight w:val="172"/>
        </w:trPr>
        <w:tc>
          <w:tcPr>
            <w:tcW w:w="58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after reinsurance</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297.0</w:t>
            </w:r>
          </w:p>
        </w:tc>
        <w:tc>
          <w:tcPr>
            <w:tcW w:w="180" w:type="dxa"/>
            <w:vAlign w:val="bottom"/>
          </w:tcPr>
          <w:p>
            <w:pPr>
              <w:spacing w:after="0"/>
              <w:rPr>
                <w:sz w:val="14"/>
                <w:szCs w:val="14"/>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289.3</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Separate Account Balances</w:t>
      </w:r>
    </w:p>
    <w:p>
      <w:pPr>
        <w:spacing w:after="0" w:line="190" w:lineRule="exact"/>
        <w:rPr>
          <w:sz w:val="20"/>
          <w:szCs w:val="20"/>
          <w:color w:val="auto"/>
        </w:rPr>
      </w:pPr>
    </w:p>
    <w:p>
      <w:pPr>
        <w:ind w:right="100" w:firstLine="576"/>
        <w:spacing w:after="0" w:line="284" w:lineRule="auto"/>
        <w:rPr>
          <w:sz w:val="20"/>
          <w:szCs w:val="20"/>
          <w:color w:val="auto"/>
        </w:rPr>
      </w:pPr>
      <w:r>
        <w:rPr>
          <w:rFonts w:ascii="Times New Roman" w:cs="Times New Roman" w:eastAsia="Times New Roman" w:hAnsi="Times New Roman"/>
          <w:sz w:val="14"/>
          <w:szCs w:val="14"/>
          <w:color w:val="auto"/>
        </w:rPr>
        <w:t>The separate accounts are legally segregated and are not subject to claims that arise out of any of our other business. The client, rather than us, directs the investments and bears the investment risk of these funds. The separate account assets represent the fair value of funds that are separately administered by us for contracts with equity, real estate and fixed income investments and are presented as a summary total within the consolidated statements of financial position. An equivalent amount is reported as separate account liabilities, which represent the obligation to return the monies to the client. Refer to Note 17, Fair Value Measurements, for further information on the valuation methodologies.</w:t>
      </w:r>
    </w:p>
    <w:p>
      <w:pPr>
        <w:spacing w:after="0" w:line="14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We receive fees for mortality, withdrawal and expense risks, as well as administrative, maintenance and investment advisory services that are included in the consolidated statements of operations. Net deposits, net investment income and realized and unrealized capital gains and losses of the separate accounts are not reflected in the consolidated statements of operations.</w:t>
      </w:r>
    </w:p>
    <w:p>
      <w:pPr>
        <w:spacing w:after="0" w:line="164"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The Retirement and Income Solutions segment offers variable annuity contracts that allow the policyholder to allocate deposits into various investment options in a separate account. The variable annuity contracts can also include GMWB riders and guaranteed minimum death benefit (“GMDB”) riders that are accounted for as MRBs. Retirement and Income Solutions also offers certain group annuity contracts that have separate accounts as an investment option.</w:t>
      </w:r>
    </w:p>
    <w:p>
      <w:pPr>
        <w:spacing w:after="0" w:line="167"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Principal Asset Management segment offers certain retirement accumulation products in Latin America where the segregated funds and associated obligation to the client are consolidated as separate account assets and liabilities within the financial statements. We have determined that summary totals are the most meaningful presentation for these funds.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Benefits and Protection segment offers variable universal life products with separate account investment options.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Refer to Note 10, Market Risk Benefits, for further information on the MRBs associated with the contracts mentioned above.</w:t>
      </w:r>
    </w:p>
    <w:p>
      <w:pPr>
        <w:spacing w:after="0" w:line="188" w:lineRule="exact"/>
        <w:rPr>
          <w:sz w:val="20"/>
          <w:szCs w:val="20"/>
          <w:color w:val="auto"/>
        </w:rPr>
      </w:pPr>
    </w:p>
    <w:p>
      <w:pPr>
        <w:ind w:right="60" w:firstLine="576"/>
        <w:spacing w:after="0" w:line="239" w:lineRule="auto"/>
        <w:rPr>
          <w:sz w:val="20"/>
          <w:szCs w:val="20"/>
          <w:color w:val="auto"/>
        </w:rPr>
      </w:pPr>
      <w:r>
        <w:rPr>
          <w:rFonts w:ascii="Times New Roman" w:cs="Times New Roman" w:eastAsia="Times New Roman" w:hAnsi="Times New Roman"/>
          <w:sz w:val="16"/>
          <w:szCs w:val="16"/>
          <w:color w:val="auto"/>
        </w:rPr>
        <w:t>As of March 31, 2025 and December 31, 2024, the separate accounts included a separate account valued at $85.2 million and $79.8 million, respectively, which primarily included shares of our stock that were allocated and issued to eligible participants of qualified employee benefit plans administered by us as part of the policy credits issued under our 2001 demutualization. These shares are included in both basic and diluted earnings per share calculations. In the consolidated statements of financial position, the separate account shares are recorded at fair value and are reported as separate account assets with a corresponding separate account liability. Changes in fair value of the separate account shares are reflected in both the separate account assets and separate account liabilities and do not impact our results of operations.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Separate Account Assets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aggregate fair value of assets, by major investment category, supporting separate accounts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6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60" w:type="dxa"/>
            <w:vAlign w:val="bottom"/>
          </w:tcPr>
          <w:p>
            <w:pPr>
              <w:spacing w:after="0"/>
              <w:rPr>
                <w:sz w:val="11"/>
                <w:szCs w:val="11"/>
                <w:color w:val="auto"/>
              </w:rPr>
            </w:pPr>
          </w:p>
        </w:tc>
        <w:tc>
          <w:tcPr>
            <w:tcW w:w="1280" w:type="dxa"/>
            <w:vAlign w:val="bottom"/>
            <w:gridSpan w:val="2"/>
          </w:tcPr>
          <w:p>
            <w:pPr>
              <w:jc w:val="right"/>
              <w:ind w:right="843"/>
              <w:spacing w:after="0" w:line="136" w:lineRule="exact"/>
              <w:rPr>
                <w:sz w:val="20"/>
                <w:szCs w:val="20"/>
                <w:color w:val="auto"/>
              </w:rPr>
            </w:pPr>
            <w:r>
              <w:rPr>
                <w:rFonts w:ascii="Times New Roman" w:cs="Times New Roman" w:eastAsia="Times New Roman" w:hAnsi="Times New Roman"/>
                <w:sz w:val="13"/>
                <w:szCs w:val="13"/>
                <w:i w:val="1"/>
                <w:iCs w:val="1"/>
                <w:color w:val="auto"/>
                <w:w w:val="73"/>
              </w:rPr>
              <w:t>millions)</w:t>
            </w:r>
          </w:p>
        </w:tc>
      </w:tr>
      <w:tr>
        <w:trPr>
          <w:trHeight w:val="180"/>
        </w:trPr>
        <w:tc>
          <w:tcPr>
            <w:tcW w:w="6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8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8,133.0</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7,537.1</w:t>
            </w:r>
          </w:p>
        </w:tc>
      </w:tr>
      <w:tr>
        <w:trPr>
          <w:trHeight w:val="180"/>
        </w:trPr>
        <w:tc>
          <w:tcPr>
            <w:tcW w:w="68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8,740.8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8,461.5</w:t>
            </w:r>
          </w:p>
        </w:tc>
      </w:tr>
      <w:tr>
        <w:trPr>
          <w:trHeight w:val="180"/>
        </w:trPr>
        <w:tc>
          <w:tcPr>
            <w:tcW w:w="68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170.1</w:t>
            </w:r>
          </w:p>
        </w:tc>
      </w:tr>
      <w:tr>
        <w:trPr>
          <w:trHeight w:val="180"/>
        </w:trPr>
        <w:tc>
          <w:tcPr>
            <w:tcW w:w="68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12,874.5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12,590.9</w:t>
            </w:r>
          </w:p>
        </w:tc>
      </w:tr>
      <w:tr>
        <w:trPr>
          <w:trHeight w:val="180"/>
        </w:trPr>
        <w:tc>
          <w:tcPr>
            <w:tcW w:w="68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3,755.3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3,746.0</w:t>
            </w:r>
          </w:p>
        </w:tc>
      </w:tr>
      <w:tr>
        <w:trPr>
          <w:trHeight w:val="180"/>
        </w:trPr>
        <w:tc>
          <w:tcPr>
            <w:tcW w:w="68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217.1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201.4</w:t>
            </w:r>
          </w:p>
        </w:tc>
      </w:tr>
      <w:tr>
        <w:trPr>
          <w:trHeight w:val="180"/>
        </w:trPr>
        <w:tc>
          <w:tcPr>
            <w:tcW w:w="68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648.4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594.1</w:t>
            </w:r>
          </w:p>
        </w:tc>
      </w:tr>
      <w:tr>
        <w:trPr>
          <w:trHeight w:val="172"/>
        </w:trPr>
        <w:tc>
          <w:tcPr>
            <w:tcW w:w="68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34,540.9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33,301.1</w:t>
            </w:r>
          </w:p>
        </w:tc>
      </w:tr>
      <w:tr>
        <w:trPr>
          <w:trHeight w:val="180"/>
        </w:trPr>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123,204.3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126,575.0</w:t>
            </w:r>
          </w:p>
        </w:tc>
      </w:tr>
      <w:tr>
        <w:trPr>
          <w:trHeight w:val="180"/>
        </w:trPr>
        <w:tc>
          <w:tcPr>
            <w:tcW w:w="6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441.7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441.3</w:t>
            </w:r>
          </w:p>
        </w:tc>
      </w:tr>
      <w:tr>
        <w:trPr>
          <w:trHeight w:val="180"/>
        </w:trPr>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8,298.8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8,160.2</w:t>
            </w:r>
          </w:p>
        </w:tc>
      </w:tr>
      <w:tr>
        <w:trPr>
          <w:trHeight w:val="180"/>
        </w:trPr>
        <w:tc>
          <w:tcPr>
            <w:tcW w:w="6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3,886.8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4,021.7</w:t>
            </w:r>
          </w:p>
        </w:tc>
      </w:tr>
      <w:tr>
        <w:trPr>
          <w:trHeight w:val="180"/>
        </w:trPr>
        <w:tc>
          <w:tcPr>
            <w:tcW w:w="68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893.7</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827.8</w:t>
            </w:r>
          </w:p>
        </w:tc>
      </w:tr>
      <w:tr>
        <w:trPr>
          <w:trHeight w:val="172"/>
        </w:trPr>
        <w:tc>
          <w:tcPr>
            <w:tcW w:w="68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separate account assets per consolidated statements of financial position</w:t>
            </w: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171,266.2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173,327.1</w:t>
            </w:r>
          </w:p>
        </w:tc>
      </w:tr>
      <w:tr>
        <w:trPr>
          <w:trHeight w:val="20"/>
        </w:trPr>
        <w:tc>
          <w:tcPr>
            <w:tcW w:w="6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Separate Account Liabilities</w:t>
      </w:r>
    </w:p>
    <w:p>
      <w:pPr>
        <w:spacing w:after="0" w:line="190" w:lineRule="exact"/>
        <w:rPr>
          <w:sz w:val="20"/>
          <w:szCs w:val="20"/>
          <w:color w:val="auto"/>
        </w:rPr>
      </w:pPr>
    </w:p>
    <w:p>
      <w:pPr>
        <w:ind w:right="3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disaggregated separate account liability amounts and reconcile the totals to separate account liabilities reported in the consolidated statements of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60" w:type="dxa"/>
            <w:vAlign w:val="bottom"/>
          </w:tcPr>
          <w:p>
            <w:pPr>
              <w:spacing w:after="0"/>
              <w:rPr>
                <w:sz w:val="11"/>
                <w:szCs w:val="11"/>
                <w:color w:val="auto"/>
              </w:rPr>
            </w:pPr>
          </w:p>
        </w:tc>
        <w:tc>
          <w:tcPr>
            <w:tcW w:w="1280" w:type="dxa"/>
            <w:vAlign w:val="bottom"/>
            <w:gridSpan w:val="2"/>
          </w:tcPr>
          <w:p>
            <w:pPr>
              <w:jc w:val="right"/>
              <w:ind w:right="843"/>
              <w:spacing w:after="0" w:line="136" w:lineRule="exact"/>
              <w:rPr>
                <w:sz w:val="20"/>
                <w:szCs w:val="20"/>
                <w:color w:val="auto"/>
              </w:rPr>
            </w:pPr>
            <w:r>
              <w:rPr>
                <w:rFonts w:ascii="Times New Roman" w:cs="Times New Roman" w:eastAsia="Times New Roman" w:hAnsi="Times New Roman"/>
                <w:sz w:val="13"/>
                <w:szCs w:val="13"/>
                <w:i w:val="1"/>
                <w:iCs w:val="1"/>
                <w:color w:val="auto"/>
                <w:w w:val="73"/>
              </w:rPr>
              <w:t>millions)</w:t>
            </w:r>
          </w:p>
        </w:tc>
      </w:tr>
      <w:tr>
        <w:trPr>
          <w:trHeight w:val="180"/>
        </w:trPr>
        <w:tc>
          <w:tcPr>
            <w:tcW w:w="6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8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Group retirement contracts</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121,851.7</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125,103.1</w:t>
            </w:r>
          </w:p>
        </w:tc>
      </w:tr>
      <w:tr>
        <w:trPr>
          <w:trHeight w:val="180"/>
        </w:trPr>
        <w:tc>
          <w:tcPr>
            <w:tcW w:w="68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variable annuities</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7,760.0</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8,334.9</w:t>
            </w:r>
          </w:p>
        </w:tc>
      </w:tr>
      <w:tr>
        <w:trPr>
          <w:trHeight w:val="172"/>
        </w:trPr>
        <w:tc>
          <w:tcPr>
            <w:tcW w:w="68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Retirement and Income Solutions</w:t>
            </w:r>
          </w:p>
        </w:tc>
        <w:tc>
          <w:tcPr>
            <w:tcW w:w="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129,611.7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133,438.0</w:t>
            </w:r>
          </w:p>
        </w:tc>
      </w:tr>
      <w:tr>
        <w:trPr>
          <w:trHeight w:val="180"/>
        </w:trPr>
        <w:tc>
          <w:tcPr>
            <w:tcW w:w="6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xml:space="preserve">Principal Asset Management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International Pension:</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8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Latin America:</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8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Pension</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34,658.5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32,802.2</w:t>
            </w:r>
          </w:p>
        </w:tc>
      </w:tr>
      <w:tr>
        <w:trPr>
          <w:trHeight w:val="180"/>
        </w:trPr>
        <w:tc>
          <w:tcPr>
            <w:tcW w:w="68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 - Life Insurance:</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8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6,712.5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6,806.7</w:t>
            </w:r>
          </w:p>
        </w:tc>
      </w:tr>
      <w:tr>
        <w:trPr>
          <w:trHeight w:val="180"/>
        </w:trPr>
        <w:tc>
          <w:tcPr>
            <w:tcW w:w="68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balances (1)</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283.5</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280.2</w:t>
            </w:r>
          </w:p>
        </w:tc>
      </w:tr>
      <w:tr>
        <w:trPr>
          <w:trHeight w:val="172"/>
        </w:trPr>
        <w:tc>
          <w:tcPr>
            <w:tcW w:w="68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separate account liabilities per consolidated statements of financial position</w:t>
            </w: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171,266.2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173,327.1</w:t>
            </w:r>
          </w:p>
        </w:tc>
      </w:tr>
      <w:tr>
        <w:trPr>
          <w:trHeight w:val="20"/>
        </w:trPr>
        <w:tc>
          <w:tcPr>
            <w:tcW w:w="2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insignificant balances for long-duration contracts.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48" w:name="page49"/>
    <w:bookmarkEnd w:id="4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balances and the changes in separate account liabilities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5"/>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40" w:type="dxa"/>
            <w:vAlign w:val="bottom"/>
          </w:tcPr>
          <w:p>
            <w:pPr>
              <w:spacing w:after="0"/>
              <w:rPr>
                <w:sz w:val="13"/>
                <w:szCs w:val="13"/>
                <w:color w:val="auto"/>
              </w:rPr>
            </w:pP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40" w:type="dxa"/>
            <w:vAlign w:val="bottom"/>
          </w:tcPr>
          <w:p>
            <w:pPr>
              <w:spacing w:after="0"/>
              <w:rPr>
                <w:sz w:val="14"/>
                <w:szCs w:val="14"/>
                <w:color w:val="auto"/>
              </w:rPr>
            </w:pPr>
          </w:p>
        </w:tc>
        <w:tc>
          <w:tcPr>
            <w:tcW w:w="21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3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4" w:lineRule="exact"/>
              <w:rPr>
                <w:sz w:val="20"/>
                <w:szCs w:val="20"/>
                <w:color w:val="auto"/>
              </w:rPr>
            </w:pPr>
            <w:r>
              <w:rPr>
                <w:rFonts w:ascii="Times New Roman" w:cs="Times New Roman" w:eastAsia="Times New Roman" w:hAnsi="Times New Roman"/>
                <w:sz w:val="13"/>
                <w:szCs w:val="13"/>
                <w:b w:val="1"/>
                <w:bCs w:val="1"/>
                <w:color w:val="auto"/>
              </w:rPr>
              <w:t>Group</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06"/>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420"/>
              <w:spacing w:after="0" w:line="134" w:lineRule="exact"/>
              <w:rPr>
                <w:sz w:val="20"/>
                <w:szCs w:val="20"/>
                <w:color w:val="auto"/>
              </w:rPr>
            </w:pPr>
            <w:r>
              <w:rPr>
                <w:rFonts w:ascii="Times New Roman" w:cs="Times New Roman" w:eastAsia="Times New Roman" w:hAnsi="Times New Roman"/>
                <w:sz w:val="13"/>
                <w:szCs w:val="13"/>
                <w:b w:val="1"/>
                <w:bCs w:val="1"/>
                <w:color w:val="auto"/>
              </w:rPr>
              <w:t>Group</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05"/>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20" w:type="dxa"/>
            <w:vAlign w:val="bottom"/>
          </w:tcPr>
          <w:p>
            <w:pPr>
              <w:spacing w:after="0"/>
              <w:rPr>
                <w:sz w:val="11"/>
                <w:szCs w:val="11"/>
                <w:color w:val="auto"/>
              </w:rPr>
            </w:pPr>
          </w:p>
        </w:tc>
      </w:tr>
      <w:tr>
        <w:trPr>
          <w:trHeight w:val="156"/>
        </w:trPr>
        <w:tc>
          <w:tcPr>
            <w:tcW w:w="3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160" w:type="dxa"/>
            <w:vAlign w:val="bottom"/>
          </w:tcPr>
          <w:p>
            <w:pPr>
              <w:spacing w:after="0"/>
              <w:rPr>
                <w:sz w:val="13"/>
                <w:szCs w:val="13"/>
                <w:color w:val="auto"/>
              </w:rPr>
            </w:pPr>
          </w:p>
        </w:tc>
        <w:tc>
          <w:tcPr>
            <w:tcW w:w="1100" w:type="dxa"/>
            <w:vAlign w:val="bottom"/>
            <w:gridSpan w:val="2"/>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2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variable</w:t>
            </w:r>
          </w:p>
        </w:tc>
      </w:tr>
      <w:tr>
        <w:trPr>
          <w:trHeight w:val="170"/>
        </w:trPr>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8"/>
              </w:rPr>
              <w:t>annuities</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rPr>
              <w:t>annuities</w:t>
            </w:r>
          </w:p>
        </w:tc>
        <w:tc>
          <w:tcPr>
            <w:tcW w:w="20" w:type="dxa"/>
            <w:vAlign w:val="bottom"/>
          </w:tcPr>
          <w:p>
            <w:pPr>
              <w:spacing w:after="0"/>
              <w:rPr>
                <w:sz w:val="14"/>
                <w:szCs w:val="14"/>
                <w:color w:val="auto"/>
              </w:rPr>
            </w:pPr>
          </w:p>
        </w:tc>
      </w:tr>
      <w:tr>
        <w:trPr>
          <w:trHeight w:val="136"/>
        </w:trPr>
        <w:tc>
          <w:tcPr>
            <w:tcW w:w="3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6"/>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78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125,103.1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8,334.9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center"/>
              <w:ind w:right="8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117,518.5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9,131.9</w:t>
            </w:r>
          </w:p>
        </w:tc>
        <w:tc>
          <w:tcPr>
            <w:tcW w:w="20" w:type="dxa"/>
            <w:vAlign w:val="bottom"/>
          </w:tcPr>
          <w:p>
            <w:pPr>
              <w:spacing w:after="0"/>
              <w:rPr>
                <w:sz w:val="15"/>
                <w:szCs w:val="15"/>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deposits (1)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3,578.0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16,573.1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344.5</w:t>
            </w:r>
          </w:p>
        </w:tc>
        <w:tc>
          <w:tcPr>
            <w:tcW w:w="20" w:type="dxa"/>
            <w:vAlign w:val="bottom"/>
          </w:tcPr>
          <w:p>
            <w:pPr>
              <w:spacing w:after="0"/>
              <w:rPr>
                <w:sz w:val="15"/>
                <w:szCs w:val="15"/>
                <w:color w:val="auto"/>
              </w:rPr>
            </w:pPr>
          </w:p>
        </w:tc>
      </w:tr>
      <w:tr>
        <w:trPr>
          <w:trHeight w:val="180"/>
        </w:trPr>
        <w:tc>
          <w:tcPr>
            <w:tcW w:w="3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Policy charges</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(80.0)</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4"/>
              <w:spacing w:after="0" w:line="180" w:lineRule="exact"/>
              <w:rPr>
                <w:sz w:val="20"/>
                <w:szCs w:val="20"/>
                <w:color w:val="auto"/>
              </w:rPr>
            </w:pPr>
            <w:r>
              <w:rPr>
                <w:rFonts w:ascii="Times New Roman" w:cs="Times New Roman" w:eastAsia="Times New Roman" w:hAnsi="Times New Roman"/>
                <w:sz w:val="16"/>
                <w:szCs w:val="16"/>
                <w:b w:val="1"/>
                <w:bCs w:val="1"/>
                <w:color w:val="auto"/>
              </w:rPr>
              <w:t>(44.0)</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(365.6)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(197.6)</w:t>
            </w:r>
          </w:p>
        </w:tc>
        <w:tc>
          <w:tcPr>
            <w:tcW w:w="20" w:type="dxa"/>
            <w:vAlign w:val="bottom"/>
          </w:tcPr>
          <w:p>
            <w:pPr>
              <w:spacing w:after="0"/>
              <w:rPr>
                <w:sz w:val="15"/>
                <w:szCs w:val="15"/>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Surrenders, withdrawals and benefit payments (1)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(3,631.5)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(493.7)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(19,191.4)</w:t>
            </w: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(1,977.7)</w:t>
            </w:r>
          </w:p>
        </w:tc>
        <w:tc>
          <w:tcPr>
            <w:tcW w:w="20" w:type="dxa"/>
            <w:vAlign w:val="bottom"/>
          </w:tcPr>
          <w:p>
            <w:pPr>
              <w:spacing w:after="0"/>
              <w:rPr>
                <w:sz w:val="15"/>
                <w:szCs w:val="15"/>
                <w:color w:val="auto"/>
              </w:rPr>
            </w:pPr>
          </w:p>
        </w:tc>
      </w:tr>
      <w:tr>
        <w:trPr>
          <w:trHeight w:val="180"/>
        </w:trPr>
        <w:tc>
          <w:tcPr>
            <w:tcW w:w="3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performance</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(2,370.9)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14"/>
              <w:spacing w:after="0" w:line="180" w:lineRule="exact"/>
              <w:rPr>
                <w:sz w:val="20"/>
                <w:szCs w:val="20"/>
                <w:color w:val="auto"/>
              </w:rPr>
            </w:pPr>
            <w:r>
              <w:rPr>
                <w:rFonts w:ascii="Times New Roman" w:cs="Times New Roman" w:eastAsia="Times New Roman" w:hAnsi="Times New Roman"/>
                <w:sz w:val="16"/>
                <w:szCs w:val="16"/>
                <w:b w:val="1"/>
                <w:bCs w:val="1"/>
                <w:color w:val="auto"/>
              </w:rPr>
              <w:t>(81.0)</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14,632.1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1,079.0</w:t>
            </w:r>
          </w:p>
        </w:tc>
        <w:tc>
          <w:tcPr>
            <w:tcW w:w="20" w:type="dxa"/>
            <w:vAlign w:val="bottom"/>
          </w:tcPr>
          <w:p>
            <w:pPr>
              <w:spacing w:after="0"/>
              <w:rPr>
                <w:sz w:val="15"/>
                <w:szCs w:val="15"/>
                <w:color w:val="auto"/>
              </w:rPr>
            </w:pPr>
          </w:p>
        </w:tc>
      </w:tr>
      <w:tr>
        <w:trPr>
          <w:trHeight w:val="180"/>
        </w:trPr>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transfers (to) from general account (1)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r>
      <w:tr>
        <w:trPr>
          <w:trHeight w:val="180"/>
        </w:trPr>
        <w:tc>
          <w:tcPr>
            <w:tcW w:w="3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(2)</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7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(43.1)</w:t>
            </w:r>
          </w:p>
        </w:tc>
        <w:tc>
          <w:tcPr>
            <w:tcW w:w="20" w:type="dxa"/>
            <w:vAlign w:val="bottom"/>
          </w:tcPr>
          <w:p>
            <w:pPr>
              <w:spacing w:after="0"/>
              <w:rPr>
                <w:sz w:val="15"/>
                <w:szCs w:val="15"/>
                <w:color w:val="auto"/>
              </w:rPr>
            </w:pPr>
          </w:p>
        </w:tc>
      </w:tr>
      <w:tr>
        <w:trPr>
          <w:trHeight w:val="212"/>
        </w:trPr>
        <w:tc>
          <w:tcPr>
            <w:tcW w:w="38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6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121,851.7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7,760.0</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center"/>
              <w:ind w:right="8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125,103.1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8,334.9</w:t>
            </w:r>
          </w:p>
        </w:tc>
        <w:tc>
          <w:tcPr>
            <w:tcW w:w="20" w:type="dxa"/>
            <w:vAlign w:val="bottom"/>
          </w:tcPr>
          <w:p>
            <w:pPr>
              <w:spacing w:after="0"/>
              <w:rPr>
                <w:sz w:val="18"/>
                <w:szCs w:val="18"/>
                <w:color w:val="auto"/>
              </w:rPr>
            </w:pPr>
          </w:p>
        </w:tc>
      </w:tr>
      <w:tr>
        <w:trPr>
          <w:trHeight w:val="156"/>
        </w:trPr>
        <w:tc>
          <w:tcPr>
            <w:tcW w:w="3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Cash surrender value (3)</w:t>
            </w:r>
          </w:p>
        </w:tc>
        <w:tc>
          <w:tcPr>
            <w:tcW w:w="7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120,675.3</w:t>
            </w:r>
          </w:p>
        </w:tc>
        <w:tc>
          <w:tcPr>
            <w:tcW w:w="200" w:type="dxa"/>
            <w:vAlign w:val="bottom"/>
          </w:tcPr>
          <w:p>
            <w:pPr>
              <w:spacing w:after="0"/>
              <w:rPr>
                <w:sz w:val="17"/>
                <w:szCs w:val="17"/>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7,649.3</w:t>
            </w:r>
          </w:p>
        </w:tc>
        <w:tc>
          <w:tcPr>
            <w:tcW w:w="180" w:type="dxa"/>
            <w:vAlign w:val="bottom"/>
          </w:tcPr>
          <w:p>
            <w:pPr>
              <w:spacing w:after="0"/>
              <w:rPr>
                <w:sz w:val="17"/>
                <w:szCs w:val="17"/>
                <w:color w:val="auto"/>
              </w:rPr>
            </w:pPr>
          </w:p>
        </w:tc>
        <w:tc>
          <w:tcPr>
            <w:tcW w:w="2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123,965.4</w:t>
            </w:r>
          </w:p>
        </w:tc>
        <w:tc>
          <w:tcPr>
            <w:tcW w:w="2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8,219.1</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jc w:val="both"/>
        <w:ind w:left="282" w:right="100" w:hanging="282"/>
        <w:spacing w:after="0" w:line="281" w:lineRule="auto"/>
        <w:tabs>
          <w:tab w:leader="none" w:pos="28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policyholder account balances rollforwards in Note 8, Contractholder Funds, amounts in these lines for Individual variable annuities and Workplace savings and retirement solutions included in Group retirement contracts are reflected in net transfers from (to) separate account.</w:t>
      </w:r>
    </w:p>
    <w:p>
      <w:pPr>
        <w:spacing w:after="0" w:line="1" w:lineRule="exact"/>
        <w:rPr>
          <w:rFonts w:ascii="Times New Roman" w:cs="Times New Roman" w:eastAsia="Times New Roman" w:hAnsi="Times New Roman"/>
          <w:sz w:val="14"/>
          <w:szCs w:val="14"/>
          <w:color w:val="auto"/>
        </w:rPr>
      </w:pPr>
    </w:p>
    <w:p>
      <w:pPr>
        <w:ind w:left="282" w:hanging="282"/>
        <w:spacing w:after="0"/>
        <w:tabs>
          <w:tab w:leader="none" w:pos="28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to be settled between the separate account and general account due to the timing of trade settlements as of the reporting date.</w:t>
      </w:r>
    </w:p>
    <w:p>
      <w:pPr>
        <w:spacing w:after="0" w:line="19" w:lineRule="exact"/>
        <w:rPr>
          <w:rFonts w:ascii="Times New Roman" w:cs="Times New Roman" w:eastAsia="Times New Roman" w:hAnsi="Times New Roman"/>
          <w:sz w:val="14"/>
          <w:szCs w:val="14"/>
          <w:color w:val="auto"/>
        </w:rPr>
      </w:pPr>
    </w:p>
    <w:p>
      <w:pPr>
        <w:ind w:left="282" w:right="600" w:hanging="282"/>
        <w:spacing w:after="0" w:line="238" w:lineRule="auto"/>
        <w:tabs>
          <w:tab w:leader="none" w:pos="28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surrender value represents the amount of the contractholders’ account balances distributable at the end of the reporting period less surrender charges.</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Principal Asset Management – International Pension</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balances and the changes in separate account liabilities for Latin America – Pension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3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37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3"/>
          </w:tcPr>
          <w:p>
            <w:pPr>
              <w:jc w:val="right"/>
              <w:ind w:right="6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18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32,802.2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34,580.6</w:t>
            </w:r>
          </w:p>
        </w:tc>
        <w:tc>
          <w:tcPr>
            <w:tcW w:w="20" w:type="dxa"/>
            <w:vAlign w:val="bottom"/>
            <w:shd w:val="clear" w:color="auto" w:fill="CCEEFF"/>
          </w:tcPr>
          <w:p>
            <w:pPr>
              <w:spacing w:after="0"/>
              <w:rPr>
                <w:sz w:val="15"/>
                <w:szCs w:val="15"/>
                <w:color w:val="auto"/>
              </w:rPr>
            </w:pPr>
          </w:p>
        </w:tc>
      </w:tr>
      <w:tr>
        <w:trPr>
          <w:trHeight w:val="180"/>
        </w:trPr>
        <w:tc>
          <w:tcPr>
            <w:tcW w:w="3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deposits</w:t>
            </w: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3,347.7</w:t>
            </w:r>
          </w:p>
        </w:tc>
        <w:tc>
          <w:tcPr>
            <w:tcW w:w="20" w:type="dxa"/>
            <w:vAlign w:val="bottom"/>
          </w:tcPr>
          <w:p>
            <w:pPr>
              <w:spacing w:after="0"/>
              <w:rPr>
                <w:sz w:val="15"/>
                <w:szCs w:val="15"/>
                <w:color w:val="auto"/>
              </w:rPr>
            </w:pPr>
          </w:p>
        </w:tc>
      </w:tr>
      <w:tr>
        <w:trPr>
          <w:trHeight w:val="180"/>
        </w:trPr>
        <w:tc>
          <w:tcPr>
            <w:tcW w:w="37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Policy charges</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r>
      <w:tr>
        <w:trPr>
          <w:trHeight w:val="180"/>
        </w:trPr>
        <w:tc>
          <w:tcPr>
            <w:tcW w:w="3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Surrenders, withdrawals and benefit payments</w:t>
            </w: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(930.1)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(3,638.0)</w:t>
            </w:r>
          </w:p>
        </w:tc>
      </w:tr>
      <w:tr>
        <w:trPr>
          <w:trHeight w:val="180"/>
        </w:trPr>
        <w:tc>
          <w:tcPr>
            <w:tcW w:w="37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performance</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2,890.1</w:t>
            </w:r>
          </w:p>
        </w:tc>
        <w:tc>
          <w:tcPr>
            <w:tcW w:w="20" w:type="dxa"/>
            <w:vAlign w:val="bottom"/>
            <w:shd w:val="clear" w:color="auto" w:fill="CCEEFF"/>
          </w:tcPr>
          <w:p>
            <w:pPr>
              <w:spacing w:after="0"/>
              <w:rPr>
                <w:sz w:val="15"/>
                <w:szCs w:val="15"/>
                <w:color w:val="auto"/>
              </w:rPr>
            </w:pPr>
          </w:p>
        </w:tc>
      </w:tr>
      <w:tr>
        <w:trPr>
          <w:trHeight w:val="180"/>
        </w:trPr>
        <w:tc>
          <w:tcPr>
            <w:tcW w:w="3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(24.6)</w:t>
            </w: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20" w:type="dxa"/>
            <w:vAlign w:val="bottom"/>
          </w:tcPr>
          <w:p>
            <w:pPr>
              <w:spacing w:after="0"/>
              <w:rPr>
                <w:sz w:val="15"/>
                <w:szCs w:val="15"/>
                <w:color w:val="auto"/>
              </w:rPr>
            </w:pPr>
          </w:p>
        </w:tc>
      </w:tr>
      <w:tr>
        <w:trPr>
          <w:trHeight w:val="180"/>
        </w:trPr>
        <w:tc>
          <w:tcPr>
            <w:tcW w:w="37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20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1,486.5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(4,384.4)</w:t>
            </w:r>
          </w:p>
        </w:tc>
      </w:tr>
      <w:tr>
        <w:trPr>
          <w:trHeight w:val="212"/>
        </w:trPr>
        <w:tc>
          <w:tcPr>
            <w:tcW w:w="37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2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34,658.5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32,802.2</w:t>
            </w:r>
          </w:p>
        </w:tc>
        <w:tc>
          <w:tcPr>
            <w:tcW w:w="20" w:type="dxa"/>
            <w:vAlign w:val="bottom"/>
            <w:tcBorders>
              <w:bottom w:val="single" w:sz="8" w:color="auto"/>
            </w:tcBorders>
          </w:tcPr>
          <w:p>
            <w:pPr>
              <w:spacing w:after="0"/>
              <w:rPr>
                <w:sz w:val="18"/>
                <w:szCs w:val="18"/>
                <w:color w:val="auto"/>
              </w:rPr>
            </w:pPr>
          </w:p>
        </w:tc>
      </w:tr>
      <w:tr>
        <w:trPr>
          <w:trHeight w:val="156"/>
        </w:trPr>
        <w:tc>
          <w:tcPr>
            <w:tcW w:w="37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5"/>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Cash surrender value</w:t>
            </w:r>
          </w:p>
        </w:tc>
        <w:tc>
          <w:tcPr>
            <w:tcW w:w="2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34,658.5</w:t>
            </w:r>
          </w:p>
        </w:tc>
        <w:tc>
          <w:tcPr>
            <w:tcW w:w="120" w:type="dxa"/>
            <w:vAlign w:val="bottom"/>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32,802.2</w:t>
            </w:r>
          </w:p>
        </w:tc>
        <w:tc>
          <w:tcPr>
            <w:tcW w:w="20" w:type="dxa"/>
            <w:vAlign w:val="bottom"/>
          </w:tcPr>
          <w:p>
            <w:pPr>
              <w:spacing w:after="0"/>
              <w:rPr>
                <w:sz w:val="17"/>
                <w:szCs w:val="17"/>
                <w:color w:val="auto"/>
              </w:rPr>
            </w:pPr>
          </w:p>
        </w:tc>
      </w:tr>
      <w:tr>
        <w:trPr>
          <w:trHeight w:val="729"/>
        </w:trPr>
        <w:tc>
          <w:tcPr>
            <w:tcW w:w="3780" w:type="dxa"/>
            <w:vAlign w:val="bottom"/>
          </w:tcPr>
          <w:p>
            <w:pPr>
              <w:spacing w:after="0"/>
              <w:rPr>
                <w:sz w:val="24"/>
                <w:szCs w:val="24"/>
                <w:color w:val="auto"/>
              </w:rPr>
            </w:pPr>
          </w:p>
        </w:tc>
        <w:tc>
          <w:tcPr>
            <w:tcW w:w="206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7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2"/>
          </w:cols>
          <w:pgMar w:left="1278" w:top="557" w:right="1280" w:bottom="1440" w:gutter="0" w:footer="0" w:header="0"/>
        </w:sectPr>
      </w:pPr>
    </w:p>
    <w:bookmarkStart w:id="49" w:name="page50"/>
    <w:bookmarkEnd w:id="49"/>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balances and the changes in separate account liabilities for Life Insurance – Universal life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r>
      <w:tr>
        <w:trPr>
          <w:trHeight w:val="180"/>
        </w:trPr>
        <w:tc>
          <w:tcPr>
            <w:tcW w:w="45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6,806.7</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5,982.5</w:t>
            </w:r>
          </w:p>
        </w:tc>
      </w:tr>
      <w:tr>
        <w:trPr>
          <w:trHeight w:val="180"/>
        </w:trPr>
        <w:tc>
          <w:tcPr>
            <w:tcW w:w="45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deposits (1)</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186.4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557.2</w:t>
            </w:r>
          </w:p>
        </w:tc>
      </w:tr>
      <w:tr>
        <w:trPr>
          <w:trHeight w:val="180"/>
        </w:trPr>
        <w:tc>
          <w:tcPr>
            <w:tcW w:w="45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Policy charges</w:t>
            </w: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(33.8)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(132.7)</w:t>
            </w:r>
          </w:p>
        </w:tc>
      </w:tr>
      <w:tr>
        <w:trPr>
          <w:trHeight w:val="180"/>
        </w:trPr>
        <w:tc>
          <w:tcPr>
            <w:tcW w:w="45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Surrenders, withdrawals and benefit payments (1)</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(492.2)</w:t>
            </w:r>
          </w:p>
        </w:tc>
      </w:tr>
      <w:tr>
        <w:trPr>
          <w:trHeight w:val="180"/>
        </w:trPr>
        <w:tc>
          <w:tcPr>
            <w:tcW w:w="45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performance</w:t>
            </w: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(137.2)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880.5</w:t>
            </w:r>
          </w:p>
        </w:tc>
      </w:tr>
      <w:tr>
        <w:trPr>
          <w:trHeight w:val="180"/>
        </w:trPr>
        <w:tc>
          <w:tcPr>
            <w:tcW w:w="45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transfers (to) from general account (1)</w:t>
            </w:r>
          </w:p>
        </w:tc>
        <w:tc>
          <w:tcPr>
            <w:tcW w:w="1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r>
      <w:tr>
        <w:trPr>
          <w:trHeight w:val="172"/>
        </w:trPr>
        <w:tc>
          <w:tcPr>
            <w:tcW w:w="45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13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6,712.5</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6,806.7</w:t>
            </w:r>
          </w:p>
        </w:tc>
      </w:tr>
      <w:tr>
        <w:trPr>
          <w:trHeight w:val="20"/>
        </w:trPr>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0"/>
        </w:trPr>
        <w:tc>
          <w:tcPr>
            <w:tcW w:w="45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surrender value (2)</w:t>
            </w:r>
          </w:p>
        </w:tc>
        <w:tc>
          <w:tcPr>
            <w:tcW w:w="1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6,792.4</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6,869.5</w:t>
            </w:r>
          </w:p>
        </w:tc>
      </w:tr>
      <w:tr>
        <w:trPr>
          <w:trHeight w:val="84"/>
        </w:trPr>
        <w:tc>
          <w:tcPr>
            <w:tcW w:w="232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r>
    </w:tbl>
    <w:p>
      <w:pPr>
        <w:spacing w:after="0" w:line="59" w:lineRule="exact"/>
        <w:rPr>
          <w:sz w:val="20"/>
          <w:szCs w:val="20"/>
          <w:color w:val="auto"/>
        </w:rPr>
      </w:pPr>
    </w:p>
    <w:p>
      <w:pPr>
        <w:ind w:left="282" w:right="20" w:hanging="282"/>
        <w:spacing w:after="0" w:line="246" w:lineRule="auto"/>
        <w:tabs>
          <w:tab w:leader="none" w:pos="28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policyholder account balances rollforwards in Note 8, Contractholder Funds, amounts in these lines are reflected in net transfers from (to) separate account.</w:t>
      </w:r>
    </w:p>
    <w:p>
      <w:pPr>
        <w:jc w:val="both"/>
        <w:ind w:left="282" w:right="580" w:hanging="282"/>
        <w:spacing w:after="0" w:line="237" w:lineRule="auto"/>
        <w:tabs>
          <w:tab w:leader="none" w:pos="28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surrender value represents the amount of the contractholders’ account balances distributable at the end of the reporting period less surrender charges. Certain products include surrender value enhancement riders that result in cash surrender values greater than account balances.</w:t>
      </w: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0" w:name="page51"/>
    <w:bookmarkEnd w:id="5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8. Contractholder Funds</w:t>
      </w:r>
    </w:p>
    <w:p>
      <w:pPr>
        <w:spacing w:after="0" w:line="19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Contractholder funds include policyholder account balances related to contracts with significant insurance risk and investment contracts.</w:t>
      </w:r>
    </w:p>
    <w:p>
      <w:pPr>
        <w:spacing w:after="0" w:line="188" w:lineRule="exact"/>
        <w:rPr>
          <w:sz w:val="20"/>
          <w:szCs w:val="20"/>
          <w:color w:val="auto"/>
        </w:rPr>
      </w:pPr>
    </w:p>
    <w:p>
      <w:pPr>
        <w:ind w:left="2" w:right="4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disaggregated policyholder account balance amounts and reconcile the totals to contractholder funds reported in the consolidated statements of financial position.</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540" w:type="dxa"/>
            <w:vAlign w:val="bottom"/>
            <w:gridSpan w:val="3"/>
          </w:tcPr>
          <w:p>
            <w:pPr>
              <w:jc w:val="right"/>
              <w:ind w:right="1003"/>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Workplace savings and retirement solutions</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14,380.4</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13,982.8</w:t>
            </w: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variable annuities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2,228.2</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1,746.0</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fixed deferred annuities</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4,290.3</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4,462.3</w:t>
            </w:r>
          </w:p>
        </w:tc>
        <w:tc>
          <w:tcPr>
            <w:tcW w:w="0" w:type="dxa"/>
            <w:vAlign w:val="bottom"/>
          </w:tcPr>
          <w:p>
            <w:pPr>
              <w:spacing w:after="0"/>
              <w:rPr>
                <w:sz w:val="1"/>
                <w:szCs w:val="1"/>
                <w:color w:val="auto"/>
              </w:rPr>
            </w:pPr>
          </w:p>
        </w:tc>
      </w:tr>
      <w:tr>
        <w:trPr>
          <w:trHeight w:val="172"/>
        </w:trPr>
        <w:tc>
          <w:tcPr>
            <w:tcW w:w="62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Retirement and Income Solutions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20,898.9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20,191.1</w:t>
            </w:r>
          </w:p>
        </w:tc>
        <w:tc>
          <w:tcPr>
            <w:tcW w:w="0" w:type="dxa"/>
            <w:vAlign w:val="bottom"/>
          </w:tcPr>
          <w:p>
            <w:pPr>
              <w:spacing w:after="0"/>
              <w:rPr>
                <w:sz w:val="1"/>
                <w:szCs w:val="1"/>
                <w:color w:val="auto"/>
              </w:rPr>
            </w:pPr>
          </w:p>
        </w:tc>
      </w:tr>
      <w:tr>
        <w:trPr>
          <w:trHeight w:val="180"/>
        </w:trPr>
        <w:tc>
          <w:tcPr>
            <w:tcW w:w="6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Benefits and Protection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Life Insurance: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6,909.6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6,930.4</w:t>
            </w:r>
          </w:p>
        </w:tc>
        <w:tc>
          <w:tcPr>
            <w:tcW w:w="0" w:type="dxa"/>
            <w:vAlign w:val="bottom"/>
          </w:tcPr>
          <w:p>
            <w:pPr>
              <w:spacing w:after="0"/>
              <w:rPr>
                <w:sz w:val="1"/>
                <w:szCs w:val="1"/>
                <w:color w:val="auto"/>
              </w:rPr>
            </w:pPr>
          </w:p>
        </w:tc>
      </w:tr>
      <w:tr>
        <w:trPr>
          <w:trHeight w:val="180"/>
        </w:trPr>
        <w:tc>
          <w:tcPr>
            <w:tcW w:w="6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Inter-segment eliminations</w:t>
            </w:r>
          </w:p>
        </w:tc>
        <w:tc>
          <w:tcPr>
            <w:tcW w:w="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(358.3)</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(361.2)</w:t>
            </w:r>
          </w:p>
        </w:tc>
        <w:tc>
          <w:tcPr>
            <w:tcW w:w="0" w:type="dxa"/>
            <w:vAlign w:val="bottom"/>
          </w:tcPr>
          <w:p>
            <w:pPr>
              <w:spacing w:after="0"/>
              <w:rPr>
                <w:sz w:val="1"/>
                <w:szCs w:val="1"/>
                <w:color w:val="auto"/>
              </w:rPr>
            </w:pPr>
          </w:p>
        </w:tc>
      </w:tr>
      <w:tr>
        <w:trPr>
          <w:trHeight w:val="147"/>
        </w:trPr>
        <w:tc>
          <w:tcPr>
            <w:tcW w:w="622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auto"/>
              </w:rPr>
              <w:t>Total policyholder account balances for contracts with significant insurance risk or investment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27,450.2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contracts with significant fee revenue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26,760.3</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Reconciling items: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contracts without significant fee revenue (1)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15,462.7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15,805.8</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Embedded derivatives and other balances (2)</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353.1</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533.5</w:t>
            </w:r>
          </w:p>
        </w:tc>
        <w:tc>
          <w:tcPr>
            <w:tcW w:w="0" w:type="dxa"/>
            <w:vAlign w:val="bottom"/>
          </w:tcPr>
          <w:p>
            <w:pPr>
              <w:spacing w:after="0"/>
              <w:rPr>
                <w:sz w:val="1"/>
                <w:szCs w:val="1"/>
                <w:color w:val="auto"/>
              </w:rPr>
            </w:pPr>
          </w:p>
        </w:tc>
      </w:tr>
      <w:tr>
        <w:trPr>
          <w:trHeight w:val="172"/>
        </w:trPr>
        <w:tc>
          <w:tcPr>
            <w:tcW w:w="62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contractholder funds per consolidated statements of financial position</w:t>
            </w:r>
          </w:p>
        </w:tc>
        <w:tc>
          <w:tcPr>
            <w:tcW w:w="3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43,266.0</w:t>
            </w: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43,099.6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32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right="20" w:hanging="282"/>
        <w:spacing w:after="0" w:line="246" w:lineRule="auto"/>
        <w:tabs>
          <w:tab w:leader="none" w:pos="28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GICs, funding agreements, individual fixed income annuities and guaranteed pension contracts. These contracts are not included within the disaggregated rollforward or guaranteed minimum interest rate (“GMIR”) disclosures below.</w:t>
      </w:r>
    </w:p>
    <w:p>
      <w:pPr>
        <w:ind w:left="282" w:right="260" w:hanging="282"/>
        <w:spacing w:after="0" w:line="236" w:lineRule="auto"/>
        <w:tabs>
          <w:tab w:leader="none" w:pos="28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insignificant balances for long-duration contracts, embedded derivative (assets) liabilities, including associated host contract (asset) liability adjustments, and amounts that are not accrued to the benefit of the contractholder and, therefore, are not included within the disaggregated rollforward or GMIR disclosures below. Refer to Note 17, Fair Value Measurements, for details on the changes in Level 3 fair value measurements of embedded derivatives.</w:t>
      </w: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1" w:name="page52"/>
    <w:bookmarkEnd w:id="5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Policyholder Account Balances</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changes in policyholder account balances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80" w:type="dxa"/>
            <w:vAlign w:val="bottom"/>
          </w:tcPr>
          <w:p>
            <w:pPr>
              <w:spacing w:after="0"/>
              <w:rPr>
                <w:sz w:val="14"/>
                <w:szCs w:val="14"/>
                <w:color w:val="auto"/>
              </w:rPr>
            </w:pPr>
          </w:p>
        </w:tc>
        <w:tc>
          <w:tcPr>
            <w:tcW w:w="2940" w:type="dxa"/>
            <w:vAlign w:val="bottom"/>
            <w:gridSpan w:val="9"/>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r>
      <w:tr>
        <w:trPr>
          <w:trHeight w:val="134"/>
        </w:trPr>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20"/>
              <w:spacing w:after="0" w:line="134" w:lineRule="exact"/>
              <w:rPr>
                <w:sz w:val="20"/>
                <w:szCs w:val="20"/>
                <w:color w:val="auto"/>
              </w:rPr>
            </w:pPr>
            <w:r>
              <w:rPr>
                <w:rFonts w:ascii="Times New Roman" w:cs="Times New Roman" w:eastAsia="Times New Roman" w:hAnsi="Times New Roman"/>
                <w:sz w:val="13"/>
                <w:szCs w:val="13"/>
                <w:b w:val="1"/>
                <w:bCs w:val="1"/>
                <w:color w:val="auto"/>
              </w:rPr>
              <w:t>Workplace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Workplace</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savings and</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savings 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Individual</w:t>
            </w:r>
          </w:p>
        </w:tc>
      </w:tr>
      <w:tr>
        <w:trPr>
          <w:trHeight w:val="156"/>
        </w:trPr>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8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60" w:type="dxa"/>
            <w:vAlign w:val="bottom"/>
          </w:tcPr>
          <w:p>
            <w:pPr>
              <w:spacing w:after="0"/>
              <w:rPr>
                <w:sz w:val="13"/>
                <w:szCs w:val="13"/>
                <w:color w:val="auto"/>
              </w:rPr>
            </w:pPr>
          </w:p>
        </w:tc>
        <w:tc>
          <w:tcPr>
            <w:tcW w:w="1080" w:type="dxa"/>
            <w:vAlign w:val="bottom"/>
            <w:gridSpan w:val="3"/>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9"/>
              </w:rPr>
              <w:t>fixed deferred</w:t>
            </w:r>
          </w:p>
        </w:tc>
        <w:tc>
          <w:tcPr>
            <w:tcW w:w="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fixed deferred</w:t>
            </w:r>
          </w:p>
        </w:tc>
      </w:tr>
      <w:tr>
        <w:trPr>
          <w:trHeight w:val="170"/>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8"/>
              </w:rPr>
              <w:t>annuities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annuities (1)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8"/>
              </w:rPr>
              <w:t>annuities</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annuities (1)</w:t>
            </w:r>
          </w:p>
        </w:tc>
        <w:tc>
          <w:tcPr>
            <w:tcW w:w="140" w:type="dxa"/>
            <w:vAlign w:val="bottom"/>
          </w:tcPr>
          <w:p>
            <w:pPr>
              <w:spacing w:after="0"/>
              <w:rPr>
                <w:sz w:val="14"/>
                <w:szCs w:val="14"/>
                <w:color w:val="auto"/>
              </w:rPr>
            </w:pPr>
          </w:p>
        </w:tc>
      </w:tr>
      <w:tr>
        <w:trPr>
          <w:trHeight w:val="136"/>
        </w:trPr>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040" w:type="dxa"/>
            <w:vAlign w:val="bottom"/>
            <w:gridSpan w:val="3"/>
          </w:tcPr>
          <w:p>
            <w:pPr>
              <w:jc w:val="center"/>
              <w:ind w:right="405"/>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3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13,982.8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1,746.0</w:t>
            </w:r>
          </w:p>
        </w:tc>
        <w:tc>
          <w:tcPr>
            <w:tcW w:w="2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4,462.3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12,721.5</w:t>
            </w: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514.2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5,538.3</w:t>
            </w:r>
          </w:p>
        </w:tc>
        <w:tc>
          <w:tcPr>
            <w:tcW w:w="140" w:type="dxa"/>
            <w:vAlign w:val="bottom"/>
            <w:shd w:val="clear" w:color="auto" w:fill="CCEEFF"/>
          </w:tcPr>
          <w:p>
            <w:pPr>
              <w:spacing w:after="0"/>
              <w:rPr>
                <w:sz w:val="15"/>
                <w:szCs w:val="15"/>
                <w:color w:val="auto"/>
              </w:rPr>
            </w:pPr>
          </w:p>
        </w:tc>
      </w:tr>
      <w:tr>
        <w:trPr>
          <w:trHeight w:val="180"/>
        </w:trPr>
        <w:tc>
          <w:tcPr>
            <w:tcW w:w="32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deposits</w:t>
            </w:r>
          </w:p>
        </w:tc>
        <w:tc>
          <w:tcPr>
            <w:tcW w:w="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1,408.9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555.2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4,945.1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1,686.5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Policy charges</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(10.4)</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(36.7)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2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Surrenders, withdrawals and benefit payments</w:t>
            </w:r>
          </w:p>
        </w:tc>
        <w:tc>
          <w:tcPr>
            <w:tcW w:w="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(1,075.1)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(524.6)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(208.2)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(3,791.8)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(1,255.7)</w:t>
            </w:r>
          </w:p>
        </w:tc>
        <w:tc>
          <w:tcPr>
            <w:tcW w:w="14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transfers from (to) separate account (2)</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449.9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(220.5)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1,635.3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2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credited</w:t>
            </w:r>
          </w:p>
        </w:tc>
        <w:tc>
          <w:tcPr>
            <w:tcW w:w="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14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12"/>
        </w:trPr>
        <w:tc>
          <w:tcPr>
            <w:tcW w:w="326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14,380.4</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2,228.2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4,290.3</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13,982.8</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1,746.0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4,462.3</w:t>
            </w:r>
          </w:p>
        </w:tc>
        <w:tc>
          <w:tcPr>
            <w:tcW w:w="140" w:type="dxa"/>
            <w:vAlign w:val="bottom"/>
            <w:tcBorders>
              <w:bottom w:val="single" w:sz="8" w:color="CCEEFF"/>
            </w:tcBorders>
          </w:tcPr>
          <w:p>
            <w:pPr>
              <w:spacing w:after="0"/>
              <w:rPr>
                <w:sz w:val="18"/>
                <w:szCs w:val="18"/>
                <w:color w:val="auto"/>
              </w:rPr>
            </w:pPr>
          </w:p>
        </w:tc>
      </w:tr>
      <w:tr>
        <w:trPr>
          <w:trHeight w:val="156"/>
        </w:trPr>
        <w:tc>
          <w:tcPr>
            <w:tcW w:w="2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0"/>
        </w:trPr>
        <w:tc>
          <w:tcPr>
            <w:tcW w:w="3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Weighted-average crediting rate (3)</w:t>
            </w:r>
          </w:p>
        </w:tc>
        <w:tc>
          <w:tcPr>
            <w:tcW w:w="6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3.49 %</w:t>
            </w:r>
          </w:p>
        </w:tc>
        <w:tc>
          <w:tcPr>
            <w:tcW w:w="8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3.37 %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3.14 %</w:t>
            </w:r>
          </w:p>
        </w:tc>
        <w:tc>
          <w:tcPr>
            <w:tcW w:w="80" w:type="dxa"/>
            <w:vAlign w:val="bottom"/>
          </w:tcPr>
          <w:p>
            <w:pPr>
              <w:spacing w:after="0"/>
              <w:rPr>
                <w:sz w:val="15"/>
                <w:szCs w:val="15"/>
                <w:color w:val="auto"/>
              </w:rPr>
            </w:pPr>
          </w:p>
        </w:tc>
        <w:tc>
          <w:tcPr>
            <w:tcW w:w="9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3.26 %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3.39 %</w:t>
            </w:r>
          </w:p>
        </w:tc>
        <w:tc>
          <w:tcPr>
            <w:tcW w:w="100" w:type="dxa"/>
            <w:vAlign w:val="bottom"/>
          </w:tcPr>
          <w:p>
            <w:pPr>
              <w:spacing w:after="0"/>
              <w:rPr>
                <w:sz w:val="15"/>
                <w:szCs w:val="15"/>
                <w:color w:val="auto"/>
              </w:rPr>
            </w:pPr>
          </w:p>
        </w:tc>
        <w:tc>
          <w:tcPr>
            <w:tcW w:w="9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3.09 %</w:t>
            </w:r>
          </w:p>
        </w:tc>
      </w:tr>
      <w:tr>
        <w:trPr>
          <w:trHeight w:val="180"/>
        </w:trPr>
        <w:tc>
          <w:tcPr>
            <w:tcW w:w="3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surrender value (4)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13,006.9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2,106.2</w:t>
            </w:r>
          </w:p>
        </w:tc>
        <w:tc>
          <w:tcPr>
            <w:tcW w:w="2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4,048.4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12,524.6</w:t>
            </w: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1,778.7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4,208.5</w:t>
            </w:r>
          </w:p>
        </w:tc>
        <w:tc>
          <w:tcPr>
            <w:tcW w:w="140" w:type="dxa"/>
            <w:vAlign w:val="bottom"/>
            <w:shd w:val="clear" w:color="auto" w:fill="CCEEFF"/>
          </w:tcPr>
          <w:p>
            <w:pPr>
              <w:spacing w:after="0"/>
              <w:rPr>
                <w:sz w:val="15"/>
                <w:szCs w:val="15"/>
                <w:color w:val="auto"/>
              </w:rPr>
            </w:pPr>
          </w:p>
        </w:tc>
      </w:tr>
      <w:tr>
        <w:trPr>
          <w:trHeight w:val="96"/>
        </w:trPr>
        <w:tc>
          <w:tcPr>
            <w:tcW w:w="23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59" w:lineRule="exact"/>
        <w:rPr>
          <w:sz w:val="20"/>
          <w:szCs w:val="20"/>
          <w:color w:val="auto"/>
        </w:rPr>
      </w:pPr>
    </w:p>
    <w:p>
      <w:pPr>
        <w:ind w:left="282" w:hanging="282"/>
        <w:spacing w:after="0"/>
        <w:tabs>
          <w:tab w:leader="none" w:pos="2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deposit method of accounting for the reinsurance of this exited business.</w:t>
      </w:r>
    </w:p>
    <w:p>
      <w:pPr>
        <w:spacing w:after="0" w:line="14" w:lineRule="exact"/>
        <w:rPr>
          <w:rFonts w:ascii="Times New Roman" w:cs="Times New Roman" w:eastAsia="Times New Roman" w:hAnsi="Times New Roman"/>
          <w:sz w:val="16"/>
          <w:szCs w:val="16"/>
          <w:color w:val="auto"/>
        </w:rPr>
      </w:pPr>
    </w:p>
    <w:p>
      <w:pPr>
        <w:ind w:left="282" w:right="200" w:hanging="282"/>
        <w:spacing w:after="0" w:line="234" w:lineRule="auto"/>
        <w:tabs>
          <w:tab w:leader="none" w:pos="2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separate account liabilities rollforwards in Note 7, Separate Account Balances, these transfers for Individual variable annuities and Workplace savings and retirement solutions included in Group retirement contracts are reflected in premiums and deposits; surrenders, withdrawals and benefit payments; and net transfers (to) from general account.</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crediting rate is the crediting rate as of the end of each reporting period weighted by account value.</w:t>
      </w:r>
    </w:p>
    <w:p>
      <w:pPr>
        <w:ind w:left="282" w:right="240" w:hanging="282"/>
        <w:spacing w:after="0" w:line="237" w:lineRule="auto"/>
        <w:tabs>
          <w:tab w:leader="none" w:pos="2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surrender value represents the amount of the contractholders’ account balances distributable at the end of the reporting period less surrender charges. The cash surrender value for RILA products also includes an equity and bond adjustment that may result in cash surrender value being greater than account balance.</w:t>
      </w:r>
    </w:p>
    <w:p>
      <w:pPr>
        <w:spacing w:after="0" w:line="169" w:lineRule="exact"/>
        <w:rPr>
          <w:sz w:val="20"/>
          <w:szCs w:val="20"/>
          <w:color w:val="auto"/>
        </w:rPr>
      </w:pPr>
    </w:p>
    <w:p>
      <w:pPr>
        <w:ind w:left="2" w:right="500" w:firstLine="576"/>
        <w:spacing w:after="0" w:line="247" w:lineRule="auto"/>
        <w:rPr>
          <w:sz w:val="20"/>
          <w:szCs w:val="20"/>
          <w:color w:val="auto"/>
        </w:rPr>
      </w:pPr>
      <w:r>
        <w:rPr>
          <w:rFonts w:ascii="Times New Roman" w:cs="Times New Roman" w:eastAsia="Times New Roman" w:hAnsi="Times New Roman"/>
          <w:sz w:val="16"/>
          <w:szCs w:val="16"/>
          <w:color w:val="auto"/>
        </w:rPr>
        <w:t>The net amount at risk for policyholder account balances for Individual variable annuities is equal to the MRB net amount at risk, as reported in Note 10, Market Risk Benefits. Workplace savings and retirement solutions and Individual fixed deferred annuities do not have guarantees that provide for benefits in excess of the current policyholder account balances.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2" w:name="page53"/>
    <w:bookmarkEnd w:id="5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changes in policyholder account balances for Life Insurance – Universal life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5680" w:type="dxa"/>
            <w:vAlign w:val="bottom"/>
          </w:tcPr>
          <w:p>
            <w:pPr>
              <w:spacing w:after="0"/>
              <w:rPr>
                <w:sz w:val="13"/>
                <w:szCs w:val="13"/>
                <w:color w:val="auto"/>
              </w:rPr>
            </w:pPr>
          </w:p>
        </w:tc>
        <w:tc>
          <w:tcPr>
            <w:tcW w:w="1940" w:type="dxa"/>
            <w:vAlign w:val="bottom"/>
            <w:gridSpan w:val="3"/>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Pr>
          <w:p>
            <w:pPr>
              <w:spacing w:after="0"/>
              <w:rPr>
                <w:sz w:val="13"/>
                <w:szCs w:val="13"/>
                <w:color w:val="auto"/>
              </w:rPr>
            </w:pPr>
          </w:p>
        </w:tc>
        <w:tc>
          <w:tcPr>
            <w:tcW w:w="13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3"/>
                <w:szCs w:val="13"/>
                <w:color w:val="auto"/>
              </w:rPr>
            </w:pPr>
          </w:p>
        </w:tc>
      </w:tr>
      <w:tr>
        <w:trPr>
          <w:trHeight w:val="170"/>
        </w:trPr>
        <w:tc>
          <w:tcPr>
            <w:tcW w:w="5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r>
      <w:tr>
        <w:trPr>
          <w:trHeight w:val="136"/>
        </w:trPr>
        <w:tc>
          <w:tcPr>
            <w:tcW w:w="5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4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shd w:val="clear" w:color="auto" w:fill="CCEEFF"/>
          </w:tcPr>
          <w:p>
            <w:pPr>
              <w:jc w:val="right"/>
              <w:ind w:right="8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6,930.4</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6,910.4</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deposits</w:t>
            </w:r>
          </w:p>
        </w:tc>
        <w:tc>
          <w:tcPr>
            <w:tcW w:w="24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1,283.7</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Policy charges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(224.7)</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(877.1)</w:t>
            </w:r>
          </w:p>
        </w:tc>
        <w:tc>
          <w:tcPr>
            <w:tcW w:w="140" w:type="dxa"/>
            <w:vAlign w:val="bottom"/>
            <w:shd w:val="clear" w:color="auto" w:fill="CCEEFF"/>
          </w:tcPr>
          <w:p>
            <w:pPr>
              <w:spacing w:after="0"/>
              <w:rPr>
                <w:sz w:val="15"/>
                <w:szCs w:val="15"/>
                <w:color w:val="auto"/>
              </w:rPr>
            </w:pPr>
          </w:p>
        </w:tc>
      </w:tr>
      <w:tr>
        <w:trPr>
          <w:trHeight w:val="180"/>
        </w:trPr>
        <w:tc>
          <w:tcPr>
            <w:tcW w:w="5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Surrenders, withdrawals and benefit payments</w:t>
            </w:r>
          </w:p>
        </w:tc>
        <w:tc>
          <w:tcPr>
            <w:tcW w:w="24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(163.4)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(591.7)</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transfers from (to) separate account (1)</w:t>
            </w: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74"/>
              <w:spacing w:after="0" w:line="180" w:lineRule="exact"/>
              <w:rPr>
                <w:sz w:val="20"/>
                <w:szCs w:val="20"/>
                <w:color w:val="auto"/>
              </w:rPr>
            </w:pPr>
            <w:r>
              <w:rPr>
                <w:rFonts w:ascii="Times New Roman" w:cs="Times New Roman" w:eastAsia="Times New Roman" w:hAnsi="Times New Roman"/>
                <w:sz w:val="16"/>
                <w:szCs w:val="16"/>
                <w:b w:val="1"/>
                <w:bCs w:val="1"/>
                <w:color w:val="auto"/>
              </w:rPr>
              <w:t>(76.8)</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(76.4)</w:t>
            </w:r>
          </w:p>
        </w:tc>
      </w:tr>
      <w:tr>
        <w:trPr>
          <w:trHeight w:val="180"/>
        </w:trPr>
        <w:tc>
          <w:tcPr>
            <w:tcW w:w="56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credited</w:t>
            </w:r>
          </w:p>
        </w:tc>
        <w:tc>
          <w:tcPr>
            <w:tcW w:w="24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282.6</w:t>
            </w:r>
          </w:p>
        </w:tc>
        <w:tc>
          <w:tcPr>
            <w:tcW w:w="140" w:type="dxa"/>
            <w:vAlign w:val="bottom"/>
          </w:tcPr>
          <w:p>
            <w:pPr>
              <w:spacing w:after="0"/>
              <w:rPr>
                <w:sz w:val="15"/>
                <w:szCs w:val="15"/>
                <w:color w:val="auto"/>
              </w:rPr>
            </w:pPr>
          </w:p>
        </w:tc>
      </w:tr>
      <w:tr>
        <w:trPr>
          <w:trHeight w:val="180"/>
        </w:trPr>
        <w:tc>
          <w:tcPr>
            <w:tcW w:w="5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5"/>
                <w:szCs w:val="15"/>
                <w:color w:val="auto"/>
              </w:rPr>
            </w:pPr>
          </w:p>
        </w:tc>
      </w:tr>
      <w:tr>
        <w:trPr>
          <w:trHeight w:val="172"/>
        </w:trPr>
        <w:tc>
          <w:tcPr>
            <w:tcW w:w="56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Pr>
          <w:p>
            <w:pPr>
              <w:spacing w:after="0"/>
              <w:rPr>
                <w:sz w:val="14"/>
                <w:szCs w:val="14"/>
                <w:color w:val="auto"/>
              </w:rPr>
            </w:pPr>
          </w:p>
        </w:tc>
        <w:tc>
          <w:tcPr>
            <w:tcW w:w="1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6,909.6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6,930.4</w:t>
            </w:r>
          </w:p>
        </w:tc>
        <w:tc>
          <w:tcPr>
            <w:tcW w:w="140" w:type="dxa"/>
            <w:vAlign w:val="bottom"/>
          </w:tcPr>
          <w:p>
            <w:pPr>
              <w:spacing w:after="0"/>
              <w:rPr>
                <w:sz w:val="14"/>
                <w:szCs w:val="14"/>
                <w:color w:val="auto"/>
              </w:rPr>
            </w:pP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Reinsurance impact</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(3,188.7)</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(3,232.8)</w:t>
            </w:r>
          </w:p>
        </w:tc>
        <w:tc>
          <w:tcPr>
            <w:tcW w:w="140" w:type="dxa"/>
            <w:vAlign w:val="bottom"/>
            <w:shd w:val="clear" w:color="auto" w:fill="CCEEFF"/>
          </w:tcPr>
          <w:p>
            <w:pPr>
              <w:spacing w:after="0"/>
              <w:rPr>
                <w:sz w:val="15"/>
                <w:szCs w:val="15"/>
                <w:color w:val="auto"/>
              </w:rPr>
            </w:pPr>
          </w:p>
        </w:tc>
      </w:tr>
      <w:tr>
        <w:trPr>
          <w:trHeight w:val="212"/>
        </w:trPr>
        <w:tc>
          <w:tcPr>
            <w:tcW w:w="56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after reinsurance</w:t>
            </w:r>
          </w:p>
        </w:tc>
        <w:tc>
          <w:tcPr>
            <w:tcW w:w="240" w:type="dxa"/>
            <w:vAlign w:val="bottom"/>
            <w:tcBorders>
              <w:bottom w:val="single" w:sz="8" w:color="auto"/>
            </w:tcBorders>
          </w:tcPr>
          <w:p>
            <w:pPr>
              <w:jc w:val="right"/>
              <w:ind w:right="84"/>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3,720.9</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3,697.6</w:t>
            </w:r>
          </w:p>
        </w:tc>
        <w:tc>
          <w:tcPr>
            <w:tcW w:w="140" w:type="dxa"/>
            <w:vAlign w:val="bottom"/>
            <w:tcBorders>
              <w:bottom w:val="single" w:sz="8" w:color="CCEEFF"/>
            </w:tcBorders>
          </w:tcPr>
          <w:p>
            <w:pPr>
              <w:spacing w:after="0"/>
              <w:rPr>
                <w:sz w:val="18"/>
                <w:szCs w:val="18"/>
                <w:color w:val="auto"/>
              </w:rPr>
            </w:pPr>
          </w:p>
        </w:tc>
      </w:tr>
      <w:tr>
        <w:trPr>
          <w:trHeight w:val="156"/>
        </w:trPr>
        <w:tc>
          <w:tcPr>
            <w:tcW w:w="5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Weighted-average crediting rate (2)</w:t>
            </w:r>
          </w:p>
        </w:tc>
        <w:tc>
          <w:tcPr>
            <w:tcW w:w="240" w:type="dxa"/>
            <w:vAlign w:val="bottom"/>
          </w:tcPr>
          <w:p>
            <w:pPr>
              <w:spacing w:after="0"/>
              <w:rPr>
                <w:sz w:val="15"/>
                <w:szCs w:val="15"/>
                <w:color w:val="auto"/>
              </w:rPr>
            </w:pPr>
          </w:p>
        </w:tc>
        <w:tc>
          <w:tcPr>
            <w:tcW w:w="1700" w:type="dxa"/>
            <w:vAlign w:val="bottom"/>
            <w:gridSpan w:val="2"/>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4.29 %</w:t>
            </w:r>
          </w:p>
        </w:tc>
        <w:tc>
          <w:tcPr>
            <w:tcW w:w="22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w:t>
            </w:r>
          </w:p>
        </w:tc>
      </w:tr>
      <w:tr>
        <w:trPr>
          <w:trHeight w:val="180"/>
        </w:trPr>
        <w:tc>
          <w:tcPr>
            <w:tcW w:w="5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amount at risk (3)</w:t>
            </w:r>
          </w:p>
        </w:tc>
        <w:tc>
          <w:tcPr>
            <w:tcW w:w="240" w:type="dxa"/>
            <w:vAlign w:val="bottom"/>
            <w:shd w:val="clear" w:color="auto" w:fill="CCEEFF"/>
          </w:tcPr>
          <w:p>
            <w:pPr>
              <w:jc w:val="right"/>
              <w:ind w:right="8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85,997.3</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86,141.3</w:t>
            </w:r>
          </w:p>
        </w:tc>
        <w:tc>
          <w:tcPr>
            <w:tcW w:w="140" w:type="dxa"/>
            <w:vAlign w:val="bottom"/>
            <w:shd w:val="clear" w:color="auto" w:fill="CCEEFF"/>
          </w:tcPr>
          <w:p>
            <w:pPr>
              <w:spacing w:after="0"/>
              <w:rPr>
                <w:sz w:val="15"/>
                <w:szCs w:val="15"/>
                <w:color w:val="auto"/>
              </w:rPr>
            </w:pPr>
          </w:p>
        </w:tc>
      </w:tr>
      <w:tr>
        <w:trPr>
          <w:trHeight w:val="205"/>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Cash surrender value (4)</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6,054.8</w:t>
            </w:r>
          </w:p>
        </w:tc>
        <w:tc>
          <w:tcPr>
            <w:tcW w:w="26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6,052.5</w:t>
            </w: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ind w:left="282" w:right="20" w:hanging="282"/>
        <w:spacing w:after="0" w:line="246" w:lineRule="auto"/>
        <w:tabs>
          <w:tab w:leader="none" w:pos="2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separate account liabilities rollforwards in Note 7, Separate Account Balances, these transfers are reflected in premiums and deposits; surrenders, withdrawals and benefit payments; and net transfers (to) from general account.</w:t>
      </w:r>
    </w:p>
    <w:p>
      <w:pPr>
        <w:ind w:left="282" w:right="280" w:hanging="282"/>
        <w:spacing w:after="0" w:line="234" w:lineRule="auto"/>
        <w:tabs>
          <w:tab w:leader="none" w:pos="2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crediting rate is the crediting rate as of the end of each reporting period weighted by account value, including indexed credits.</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guarantees of benefits that are payable in the event of death, the net amount at risk is generally defined as the death benefit in excess of the current account balance or the fixed death benefit at the consolidated statement of financial position date.</w:t>
      </w:r>
    </w:p>
    <w:p>
      <w:pPr>
        <w:spacing w:after="0" w:line="1" w:lineRule="exact"/>
        <w:rPr>
          <w:rFonts w:ascii="Times New Roman" w:cs="Times New Roman" w:eastAsia="Times New Roman" w:hAnsi="Times New Roman"/>
          <w:sz w:val="16"/>
          <w:szCs w:val="16"/>
          <w:color w:val="auto"/>
        </w:rPr>
      </w:pPr>
    </w:p>
    <w:p>
      <w:pPr>
        <w:ind w:left="282" w:right="600" w:hanging="282"/>
        <w:spacing w:after="0" w:line="238" w:lineRule="auto"/>
        <w:tabs>
          <w:tab w:leader="none" w:pos="2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surrender value represents the amount of the contractholders’ account balances distributable at the end of the reporting period less surrender charges.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Guaranteed Minimum Interest Rate</w:t>
      </w:r>
    </w:p>
    <w:p>
      <w:pPr>
        <w:spacing w:after="0" w:line="190" w:lineRule="exact"/>
        <w:rPr>
          <w:sz w:val="20"/>
          <w:szCs w:val="20"/>
          <w:color w:val="auto"/>
        </w:rPr>
      </w:pPr>
    </w:p>
    <w:p>
      <w:pPr>
        <w:jc w:val="both"/>
        <w:ind w:right="200" w:firstLine="576"/>
        <w:spacing w:after="0" w:line="247" w:lineRule="auto"/>
        <w:rPr>
          <w:sz w:val="20"/>
          <w:szCs w:val="20"/>
          <w:color w:val="auto"/>
        </w:rPr>
      </w:pPr>
      <w:r>
        <w:rPr>
          <w:rFonts w:ascii="Times New Roman" w:cs="Times New Roman" w:eastAsia="Times New Roman" w:hAnsi="Times New Roman"/>
          <w:sz w:val="16"/>
          <w:szCs w:val="16"/>
          <w:color w:val="auto"/>
        </w:rPr>
        <w:t>The account values, for contracts with significant insurance risk and investment contracts with significant fee revenue by range of GMIR and the related range of difference, in basis points, between rates credited to policyholders and the respective GMIR were as follows. The amounts are before reinsurance impacts of our exited U.S. retail fixed annuity and ULSG businesses.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8"/>
        </w:trPr>
        <w:tc>
          <w:tcPr>
            <w:tcW w:w="3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Excess of crediting rates over GMIR</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34"/>
        </w:trPr>
        <w:tc>
          <w:tcPr>
            <w:tcW w:w="3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Up to 0.50%</w:t>
            </w:r>
          </w:p>
        </w:tc>
        <w:tc>
          <w:tcPr>
            <w:tcW w:w="12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0.51% to 1.00%</w:t>
            </w:r>
          </w:p>
        </w:tc>
        <w:tc>
          <w:tcPr>
            <w:tcW w:w="12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1.01% to 2.00%</w:t>
            </w:r>
          </w:p>
        </w:tc>
        <w:tc>
          <w:tcPr>
            <w:tcW w:w="9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2.01% or more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0"/>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At GMIR</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9"/>
              </w:rPr>
              <w:t>above GMIR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6"/>
        </w:trPr>
        <w:tc>
          <w:tcPr>
            <w:tcW w:w="3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2"/>
          </w:tcPr>
          <w:p>
            <w:pPr>
              <w:jc w:val="right"/>
              <w:ind w:right="54"/>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Retirement and Income Solutions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Workplace savings and retirement solutions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1,510.7</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3,406.0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1,010.1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4,416.1</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3,596.2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6,657.4</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3,596.1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4,843.1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4,163.6</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12,605.3</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1,775.1</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14,380.4</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Individual variable annuities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223.4</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244.0</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244.0</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1,984.2</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2,228.2</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Individual fixed deferred annuities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196.0</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w:t>
            </w:r>
          </w:p>
        </w:tc>
        <w:tc>
          <w:tcPr>
            <w:tcW w:w="58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1,523.1</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129.1</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2,329.6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2,329.6</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138.4</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2,738.9</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49.9</w:t>
            </w: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1,116.7</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4,120.2</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170.1</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4,290.3</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Benefits and Protection - Life Insurance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580" w:type="dxa"/>
            <w:vAlign w:val="bottom"/>
            <w:gridSpan w:val="2"/>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424.8</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1,676.5</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625.5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753.3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2,381.0</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1,760.9</w:t>
            </w:r>
          </w:p>
        </w:tc>
      </w:tr>
      <w:tr>
        <w:trPr>
          <w:trHeight w:val="168"/>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51.7</w:t>
            </w:r>
          </w:p>
        </w:tc>
      </w:tr>
      <w:tr>
        <w:trPr>
          <w:trHeight w:val="196"/>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2,478.7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1,218.1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1,036.9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5,893.4</w:t>
            </w:r>
          </w:p>
        </w:tc>
      </w:tr>
      <w:tr>
        <w:trPr>
          <w:trHeight w:val="168"/>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1,016.2</w:t>
            </w:r>
          </w:p>
        </w:tc>
      </w:tr>
      <w:tr>
        <w:trPr>
          <w:trHeight w:val="160"/>
        </w:trPr>
        <w:tc>
          <w:tcPr>
            <w:tcW w:w="3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6,909.6</w:t>
            </w:r>
          </w:p>
        </w:tc>
      </w:tr>
      <w:tr>
        <w:trPr>
          <w:trHeight w:val="20"/>
        </w:trPr>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8"/>
        </w:trPr>
        <w:tc>
          <w:tcPr>
            <w:tcW w:w="3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Excess of crediting rates over GMIR</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34"/>
        </w:trPr>
        <w:tc>
          <w:tcPr>
            <w:tcW w:w="3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Up to 0.50%</w:t>
            </w:r>
          </w:p>
        </w:tc>
        <w:tc>
          <w:tcPr>
            <w:tcW w:w="120" w:type="dxa"/>
            <w:vAlign w:val="bottom"/>
          </w:tcPr>
          <w:p>
            <w:pPr>
              <w:spacing w:after="0"/>
              <w:rPr>
                <w:sz w:val="11"/>
                <w:szCs w:val="11"/>
                <w:color w:val="auto"/>
              </w:rPr>
            </w:pPr>
          </w:p>
        </w:tc>
        <w:tc>
          <w:tcPr>
            <w:tcW w:w="9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0.51% to 1.00%</w:t>
            </w:r>
          </w:p>
        </w:tc>
        <w:tc>
          <w:tcPr>
            <w:tcW w:w="12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1.01% to 2.00%</w:t>
            </w:r>
          </w:p>
        </w:tc>
        <w:tc>
          <w:tcPr>
            <w:tcW w:w="9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2.01% or more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0"/>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At GMIR</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9"/>
              </w:rPr>
              <w:t>above GMIR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6"/>
        </w:trPr>
        <w:tc>
          <w:tcPr>
            <w:tcW w:w="3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080" w:type="dxa"/>
            <w:vAlign w:val="bottom"/>
            <w:gridSpan w:val="3"/>
          </w:tcPr>
          <w:p>
            <w:pPr>
              <w:jc w:val="right"/>
              <w:ind w:right="548"/>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Retirement and Income Solutions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Workplace savings and retirement solutions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1,486.9</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4,783.3</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5,833.4</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12,125.1</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1,857.7</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13,982.8</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Individual variable annuities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1,491.5</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1,746.0</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Individual fixed deferred annuities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1,586.7</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2,416.4</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2,850.3</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4,284.6</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r>
      <w:tr>
        <w:trPr>
          <w:trHeight w:val="200"/>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4,462.3</w:t>
            </w:r>
          </w:p>
        </w:tc>
      </w:tr>
      <w:tr>
        <w:trPr>
          <w:trHeight w:val="144"/>
        </w:trPr>
        <w:tc>
          <w:tcPr>
            <w:tcW w:w="3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Benefits and Protection - Life Insurance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1.00%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1.01% - 2.00%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1,663.5</w:t>
            </w:r>
          </w:p>
        </w:tc>
      </w:tr>
      <w:tr>
        <w:trPr>
          <w:trHeight w:val="168"/>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 - 3.00%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2,425.1</w:t>
            </w:r>
          </w:p>
        </w:tc>
      </w:tr>
      <w:tr>
        <w:trPr>
          <w:trHeight w:val="16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3.01% - 4.00%</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w:t>
            </w:r>
          </w:p>
        </w:tc>
      </w:tr>
      <w:tr>
        <w:trPr>
          <w:trHeight w:val="168"/>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4.01% and above</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60"/>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Subtotal</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5,925.1</w:t>
            </w:r>
          </w:p>
        </w:tc>
      </w:tr>
      <w:tr>
        <w:trPr>
          <w:trHeight w:val="168"/>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 GMIR</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1,005.3</w:t>
            </w:r>
          </w:p>
        </w:tc>
      </w:tr>
      <w:tr>
        <w:trPr>
          <w:trHeight w:val="160"/>
        </w:trPr>
        <w:tc>
          <w:tcPr>
            <w:tcW w:w="3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6,930.4</w:t>
            </w:r>
          </w:p>
        </w:tc>
      </w:tr>
      <w:tr>
        <w:trPr>
          <w:trHeight w:val="20"/>
        </w:trPr>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55" w:name="page56"/>
    <w:bookmarkEnd w:id="55"/>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9. Future Policy Benefits and Claims</w:t>
      </w:r>
    </w:p>
    <w:p>
      <w:pPr>
        <w:spacing w:after="0" w:line="190" w:lineRule="exact"/>
        <w:rPr>
          <w:sz w:val="20"/>
          <w:szCs w:val="20"/>
          <w:color w:val="auto"/>
        </w:rPr>
      </w:pPr>
    </w:p>
    <w:p>
      <w:pPr>
        <w:ind w:left="2" w:right="280" w:firstLine="576"/>
        <w:spacing w:after="0" w:line="259" w:lineRule="auto"/>
        <w:rPr>
          <w:sz w:val="20"/>
          <w:szCs w:val="20"/>
          <w:color w:val="auto"/>
        </w:rPr>
      </w:pPr>
      <w:r>
        <w:rPr>
          <w:rFonts w:ascii="Times New Roman" w:cs="Times New Roman" w:eastAsia="Times New Roman" w:hAnsi="Times New Roman"/>
          <w:sz w:val="16"/>
          <w:szCs w:val="16"/>
          <w:color w:val="auto"/>
        </w:rPr>
        <w:t>Future policy benefits and claims include reserves for short-duration contracts and long-duration contracts as well as certain reinsurance balances, when in a liability position.</w:t>
      </w:r>
    </w:p>
    <w:p>
      <w:pPr>
        <w:spacing w:after="0" w:line="155" w:lineRule="exact"/>
        <w:rPr>
          <w:sz w:val="20"/>
          <w:szCs w:val="20"/>
          <w:color w:val="auto"/>
        </w:rPr>
      </w:pPr>
    </w:p>
    <w:p>
      <w:pPr>
        <w:ind w:left="2" w:right="5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disaggregated amounts included in future policy benefit and claims and reconcile the totals to those reported in the consolidated statements of financial position.</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108"/>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780" w:type="dxa"/>
            <w:vAlign w:val="bottom"/>
          </w:tcPr>
          <w:p>
            <w:pPr>
              <w:spacing w:after="0"/>
              <w:rPr>
                <w:sz w:val="11"/>
                <w:szCs w:val="11"/>
                <w:color w:val="auto"/>
              </w:rPr>
            </w:pP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Liability for future policy benefits by segment (1):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Pension risk transfer</w:t>
            </w:r>
          </w:p>
        </w:tc>
        <w:tc>
          <w:tcPr>
            <w:tcW w:w="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25,756.0</w:t>
            </w:r>
          </w:p>
        </w:tc>
        <w:tc>
          <w:tcPr>
            <w:tcW w:w="620" w:type="dxa"/>
            <w:vAlign w:val="bottom"/>
            <w:gridSpan w:val="2"/>
            <w:shd w:val="clear" w:color="auto" w:fill="CCEEFF"/>
          </w:tcPr>
          <w:p>
            <w:pPr>
              <w:jc w:val="right"/>
              <w:ind w:right="2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24,958.1</w:t>
            </w:r>
          </w:p>
        </w:tc>
      </w:tr>
      <w:tr>
        <w:trPr>
          <w:trHeight w:val="180"/>
        </w:trPr>
        <w:tc>
          <w:tcPr>
            <w:tcW w:w="67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4,493.7</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4,504.6</w:t>
            </w:r>
          </w:p>
        </w:tc>
      </w:tr>
      <w:tr>
        <w:trPr>
          <w:trHeight w:val="172"/>
        </w:trPr>
        <w:tc>
          <w:tcPr>
            <w:tcW w:w="67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Retirement and Income Solutions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30,249.7</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29,462.7</w:t>
            </w: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Principal Asset Management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International Pension: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Latin America:</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4,313.7</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4,126.9</w:t>
            </w: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disability</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1,891.0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1,829.0</w:t>
            </w:r>
          </w:p>
        </w:tc>
      </w:tr>
      <w:tr>
        <w:trPr>
          <w:trHeight w:val="180"/>
        </w:trPr>
        <w:tc>
          <w:tcPr>
            <w:tcW w:w="6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Term life</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1,299.1</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1,248.0</w:t>
            </w:r>
          </w:p>
        </w:tc>
      </w:tr>
      <w:tr>
        <w:trPr>
          <w:trHeight w:val="172"/>
        </w:trPr>
        <w:tc>
          <w:tcPr>
            <w:tcW w:w="67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Benefits and Protection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3,190.1</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3,077.0</w:t>
            </w: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Long-term care insurance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167.0</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164.8</w:t>
            </w:r>
          </w:p>
        </w:tc>
      </w:tr>
      <w:tr>
        <w:trPr>
          <w:trHeight w:val="172"/>
        </w:trPr>
        <w:tc>
          <w:tcPr>
            <w:tcW w:w="67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liability for future policy benefits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37,920.5</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36,831.4</w:t>
            </w:r>
          </w:p>
        </w:tc>
      </w:tr>
      <w:tr>
        <w:trPr>
          <w:trHeight w:val="180"/>
        </w:trPr>
        <w:tc>
          <w:tcPr>
            <w:tcW w:w="23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Additional liability for certain benefit features by segment (2):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Benefits and Protection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Life Insurance: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6,191.2</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6,037.2</w:t>
            </w:r>
          </w:p>
        </w:tc>
      </w:tr>
      <w:tr>
        <w:trPr>
          <w:trHeight w:val="172"/>
        </w:trPr>
        <w:tc>
          <w:tcPr>
            <w:tcW w:w="67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additional liability for certain benefit features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6,191.2</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6,037.2</w:t>
            </w:r>
          </w:p>
        </w:tc>
      </w:tr>
      <w:tr>
        <w:trPr>
          <w:trHeight w:val="192"/>
        </w:trPr>
        <w:tc>
          <w:tcPr>
            <w:tcW w:w="2320" w:type="dxa"/>
            <w:vAlign w:val="bottom"/>
            <w:shd w:val="clear" w:color="auto" w:fill="CCEEFF"/>
          </w:tcPr>
          <w:p>
            <w:pPr>
              <w:spacing w:after="0"/>
              <w:rPr>
                <w:sz w:val="16"/>
                <w:szCs w:val="16"/>
                <w:color w:val="auto"/>
              </w:rPr>
            </w:pPr>
          </w:p>
        </w:tc>
        <w:tc>
          <w:tcPr>
            <w:tcW w:w="4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Reconciling items: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Participating contracts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2,888.2</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2,924.2</w:t>
            </w: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Short-duration contracts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1,241.0</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1,267.4</w:t>
            </w: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reinsurance liability</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956.9</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958.1</w:t>
            </w:r>
          </w:p>
        </w:tc>
      </w:tr>
      <w:tr>
        <w:trPr>
          <w:trHeight w:val="180"/>
        </w:trPr>
        <w:tc>
          <w:tcPr>
            <w:tcW w:w="6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Reinsurance recoverable liability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60.3</w:t>
            </w:r>
          </w:p>
        </w:tc>
      </w:tr>
      <w:tr>
        <w:trPr>
          <w:trHeight w:val="180"/>
        </w:trPr>
        <w:tc>
          <w:tcPr>
            <w:tcW w:w="6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(3)</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86.7</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100.8</w:t>
            </w:r>
          </w:p>
        </w:tc>
      </w:tr>
      <w:tr>
        <w:trPr>
          <w:trHeight w:val="172"/>
        </w:trPr>
        <w:tc>
          <w:tcPr>
            <w:tcW w:w="67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 and claims per consolidated statements of financial position</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49,359.4</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ind w:right="26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48,179.4</w:t>
            </w:r>
          </w:p>
        </w:tc>
      </w:tr>
      <w:tr>
        <w:trPr>
          <w:trHeight w:val="20"/>
        </w:trPr>
        <w:tc>
          <w:tcPr>
            <w:tcW w:w="2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the deferred profit liability.</w:t>
      </w:r>
    </w:p>
    <w:p>
      <w:pPr>
        <w:spacing w:after="0" w:line="14"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reserves on certain long-duration contracts where benefit features result in gains in early years followed by losses in later years.</w:t>
      </w:r>
    </w:p>
    <w:p>
      <w:pPr>
        <w:ind w:left="282" w:hanging="282"/>
        <w:spacing w:after="0"/>
        <w:tabs>
          <w:tab w:leader="none" w:pos="2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miscellaneous reserves and the impact of unrealized gains (losses) on the additional liability for certain benefit features.</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Liability for Unpaid Claims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liability for unpaid claims is reported in future policy benefits and claims within our consolidated statements of financial position.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Activity associated with unpaid claims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Borders>
              <w:bottom w:val="single" w:sz="8" w:color="auto"/>
            </w:tcBorders>
            <w:gridSpan w:val="6"/>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3"/>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40" w:type="dxa"/>
            <w:vAlign w:val="bottom"/>
          </w:tcPr>
          <w:p>
            <w:pPr>
              <w:spacing w:after="0"/>
              <w:rPr>
                <w:sz w:val="11"/>
                <w:szCs w:val="11"/>
                <w:color w:val="auto"/>
              </w:rPr>
            </w:pPr>
          </w:p>
        </w:tc>
      </w:tr>
      <w:tr>
        <w:trPr>
          <w:trHeight w:val="180"/>
        </w:trPr>
        <w:tc>
          <w:tcPr>
            <w:tcW w:w="6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780" w:type="dxa"/>
            <w:vAlign w:val="bottom"/>
            <w:gridSpan w:val="2"/>
            <w:shd w:val="clear" w:color="auto" w:fill="CCEEFF"/>
          </w:tcPr>
          <w:p>
            <w:pPr>
              <w:jc w:val="right"/>
              <w:ind w:right="637"/>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5"/>
              </w:rPr>
              <w:t>1,379.9</w:t>
            </w: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1,405.9</w:t>
            </w:r>
          </w:p>
        </w:tc>
      </w:tr>
      <w:tr>
        <w:trPr>
          <w:trHeight w:val="180"/>
        </w:trPr>
        <w:tc>
          <w:tcPr>
            <w:tcW w:w="65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Less: reinsurance recoverable</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67.8</w:t>
            </w:r>
          </w:p>
        </w:tc>
      </w:tr>
      <w:tr>
        <w:trPr>
          <w:trHeight w:val="172"/>
        </w:trPr>
        <w:tc>
          <w:tcPr>
            <w:tcW w:w="6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balance at beginning of period</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5"/>
              </w:rPr>
              <w:t>1,318.7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1,338.1</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Incurred:</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5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Current year</w:t>
            </w: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458.0</w:t>
            </w:r>
          </w:p>
        </w:tc>
      </w:tr>
      <w:tr>
        <w:trPr>
          <w:trHeight w:val="180"/>
        </w:trPr>
        <w:tc>
          <w:tcPr>
            <w:tcW w:w="65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Prior years</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(42.4)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(47.4)</w:t>
            </w:r>
          </w:p>
        </w:tc>
      </w:tr>
      <w:tr>
        <w:trPr>
          <w:trHeight w:val="172"/>
        </w:trPr>
        <w:tc>
          <w:tcPr>
            <w:tcW w:w="65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incurred</w:t>
            </w: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430.1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410.6</w:t>
            </w:r>
          </w:p>
        </w:tc>
      </w:tr>
      <w:tr>
        <w:trPr>
          <w:trHeight w:val="180"/>
        </w:trPr>
        <w:tc>
          <w:tcPr>
            <w:tcW w:w="6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5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Current year</w:t>
            </w: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240.3</w:t>
            </w:r>
          </w:p>
        </w:tc>
      </w:tr>
      <w:tr>
        <w:trPr>
          <w:trHeight w:val="180"/>
        </w:trPr>
        <w:tc>
          <w:tcPr>
            <w:tcW w:w="65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Prior years</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173.0</w:t>
            </w:r>
          </w:p>
        </w:tc>
      </w:tr>
      <w:tr>
        <w:trPr>
          <w:trHeight w:val="172"/>
        </w:trPr>
        <w:tc>
          <w:tcPr>
            <w:tcW w:w="6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payments</w:t>
            </w:r>
          </w:p>
        </w:tc>
        <w:tc>
          <w:tcPr>
            <w:tcW w:w="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413.3</w:t>
            </w:r>
          </w:p>
        </w:tc>
      </w:tr>
      <w:tr>
        <w:trPr>
          <w:trHeight w:val="172"/>
        </w:trPr>
        <w:tc>
          <w:tcPr>
            <w:tcW w:w="65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balance at end of period</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5"/>
              </w:rPr>
              <w:t>1,317.7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1,335.4</w:t>
            </w:r>
          </w:p>
        </w:tc>
      </w:tr>
      <w:tr>
        <w:trPr>
          <w:trHeight w:val="180"/>
        </w:trPr>
        <w:tc>
          <w:tcPr>
            <w:tcW w:w="6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Plus: reinsurance recoverable</w:t>
            </w:r>
          </w:p>
        </w:tc>
        <w:tc>
          <w:tcPr>
            <w:tcW w:w="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64.5</w:t>
            </w:r>
          </w:p>
        </w:tc>
      </w:tr>
      <w:tr>
        <w:trPr>
          <w:trHeight w:val="172"/>
        </w:trPr>
        <w:tc>
          <w:tcPr>
            <w:tcW w:w="65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5"/>
              </w:rPr>
              <w:t>1,378.7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1,399.9</w:t>
            </w: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Incurred liability adjustments relating to prior years, which affected current operations during 2025 and 2024, resulted in part from developed claims for prior years being different than were anticipated when the liabilities for unpaid claims were originally estimated. These trends have been considered in establishing the current year liability for unpaid claims.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57" w:name="page58"/>
    <w:bookmarkEnd w:id="5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Long-Duration Contracts</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Gross Premiums or Assessments and Interest Accretion</w:t>
      </w:r>
    </w:p>
    <w:p>
      <w:pPr>
        <w:spacing w:after="0" w:line="192" w:lineRule="exact"/>
        <w:rPr>
          <w:sz w:val="20"/>
          <w:szCs w:val="20"/>
          <w:color w:val="auto"/>
        </w:rPr>
      </w:pPr>
    </w:p>
    <w:p>
      <w:pPr>
        <w:ind w:left="2" w:right="260" w:firstLine="576"/>
        <w:spacing w:after="0" w:line="259" w:lineRule="auto"/>
        <w:rPr>
          <w:sz w:val="20"/>
          <w:szCs w:val="20"/>
          <w:color w:val="auto"/>
        </w:rPr>
      </w:pPr>
      <w:r>
        <w:rPr>
          <w:rFonts w:ascii="Times New Roman" w:cs="Times New Roman" w:eastAsia="Times New Roman" w:hAnsi="Times New Roman"/>
          <w:sz w:val="16"/>
          <w:szCs w:val="16"/>
          <w:color w:val="auto"/>
        </w:rPr>
        <w:t>The amount of gross premiums or assessments and interest accretion recognized by segment in the consolidated statements of operations was as follows: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Gross premiums or assessments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Interest accretion (2)</w:t>
            </w:r>
          </w:p>
        </w:tc>
      </w:tr>
      <w:tr>
        <w:trPr>
          <w:trHeight w:val="134"/>
        </w:trPr>
        <w:tc>
          <w:tcPr>
            <w:tcW w:w="2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4"/>
          </w:tcPr>
          <w:p>
            <w:pPr>
              <w:jc w:val="center"/>
              <w:ind w:right="104"/>
              <w:spacing w:after="0" w:line="134"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center"/>
              <w:ind w:right="63"/>
              <w:spacing w:after="0" w:line="134"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0"/>
        </w:trPr>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0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Borders>
              <w:bottom w:val="single" w:sz="8" w:color="auto"/>
            </w:tcBorders>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2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4"/>
          </w:tcPr>
          <w:p>
            <w:pPr>
              <w:jc w:val="right"/>
              <w:ind w:right="60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Pension risk transfer</w:t>
            </w:r>
          </w:p>
        </w:tc>
        <w:tc>
          <w:tcPr>
            <w:tcW w:w="1140" w:type="dxa"/>
            <w:vAlign w:val="bottom"/>
            <w:gridSpan w:val="2"/>
          </w:tcPr>
          <w:p>
            <w:pPr>
              <w:jc w:val="right"/>
              <w:ind w:right="2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806.1</w:t>
            </w:r>
          </w:p>
        </w:tc>
        <w:tc>
          <w:tcPr>
            <w:tcW w:w="440" w:type="dxa"/>
            <w:vAlign w:val="bottom"/>
            <w:gridSpan w:val="2"/>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753.0</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300.5</w:t>
            </w:r>
          </w:p>
        </w:tc>
        <w:tc>
          <w:tcPr>
            <w:tcW w:w="42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272.9</w:t>
            </w:r>
          </w:p>
        </w:tc>
      </w:tr>
      <w:tr>
        <w:trPr>
          <w:trHeight w:val="180"/>
        </w:trPr>
        <w:tc>
          <w:tcPr>
            <w:tcW w:w="4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w:t>
            </w:r>
          </w:p>
        </w:tc>
        <w:tc>
          <w:tcPr>
            <w:tcW w:w="9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50.3</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r>
      <w:tr>
        <w:trPr>
          <w:trHeight w:val="172"/>
        </w:trPr>
        <w:tc>
          <w:tcPr>
            <w:tcW w:w="4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Retirement and Income Solutions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814.3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770.0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350.8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326.1</w:t>
            </w: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xml:space="preserve">Principal Asset Management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International Pension:</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2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Latin America:</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2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 (3)</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88.8</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71.1</w:t>
            </w: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disability</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24.4</w:t>
            </w:r>
          </w:p>
        </w:tc>
      </w:tr>
      <w:tr>
        <w:trPr>
          <w:trHeight w:val="180"/>
        </w:trPr>
        <w:tc>
          <w:tcPr>
            <w:tcW w:w="42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177.0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r>
      <w:tr>
        <w:trPr>
          <w:trHeight w:val="180"/>
        </w:trPr>
        <w:tc>
          <w:tcPr>
            <w:tcW w:w="428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Term life</w:t>
            </w:r>
          </w:p>
        </w:tc>
        <w:tc>
          <w:tcPr>
            <w:tcW w:w="9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170.3</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r>
      <w:tr>
        <w:trPr>
          <w:trHeight w:val="172"/>
        </w:trPr>
        <w:tc>
          <w:tcPr>
            <w:tcW w:w="42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Benefits and Protection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505.9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495.2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109.8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98.0</w:t>
            </w: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42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Long-term care insurance</w:t>
            </w: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72"/>
        </w:trPr>
        <w:tc>
          <w:tcPr>
            <w:tcW w:w="428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per consolidated statements of operations</w:t>
            </w:r>
          </w:p>
        </w:tc>
        <w:tc>
          <w:tcPr>
            <w:tcW w:w="9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1,323.7</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1,268.8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551.8</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497.4</w:t>
            </w:r>
          </w:p>
        </w:tc>
      </w:tr>
      <w:tr>
        <w:trPr>
          <w:trHeight w:val="20"/>
        </w:trPr>
        <w:tc>
          <w:tcPr>
            <w:tcW w:w="2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9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r>
    </w:tbl>
    <w:p>
      <w:pPr>
        <w:spacing w:after="0" w:line="59" w:lineRule="exact"/>
        <w:rPr>
          <w:sz w:val="20"/>
          <w:szCs w:val="20"/>
          <w:color w:val="auto"/>
        </w:rPr>
      </w:pPr>
    </w:p>
    <w:p>
      <w:pPr>
        <w:ind w:left="282" w:right="200" w:hanging="282"/>
        <w:spacing w:after="0" w:line="242" w:lineRule="auto"/>
        <w:tabs>
          <w:tab w:leader="none" w:pos="28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premiums are included within premiums and other considerations on the consolidated statements of operations. Assessments, which are only applicable to the Life Insurance – Universal life level of aggregation, are included within fees and other revenues on the consolidated statements of operations.</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accretion is included within benefits, claims and settlement expenses on the consolidated statements of operations.</w:t>
      </w:r>
    </w:p>
    <w:p>
      <w:pPr>
        <w:ind w:left="282" w:hanging="282"/>
        <w:spacing w:after="0"/>
        <w:tabs>
          <w:tab w:leader="none" w:pos="28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inflation adjustments included within the liability for future policy benefits rollforward for interest accretion.</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Liability for Future Policy Benefits</w:t>
      </w:r>
    </w:p>
    <w:p>
      <w:pPr>
        <w:spacing w:after="0" w:line="192" w:lineRule="exact"/>
        <w:rPr>
          <w:sz w:val="20"/>
          <w:szCs w:val="20"/>
          <w:color w:val="auto"/>
        </w:rPr>
      </w:pPr>
    </w:p>
    <w:p>
      <w:pPr>
        <w:ind w:left="2" w:firstLine="576"/>
        <w:spacing w:after="0" w:line="238" w:lineRule="auto"/>
        <w:rPr>
          <w:sz w:val="20"/>
          <w:szCs w:val="20"/>
          <w:color w:val="auto"/>
        </w:rPr>
      </w:pPr>
      <w:r>
        <w:rPr>
          <w:rFonts w:ascii="Times New Roman" w:cs="Times New Roman" w:eastAsia="Times New Roman" w:hAnsi="Times New Roman"/>
          <w:sz w:val="16"/>
          <w:szCs w:val="16"/>
          <w:color w:val="auto"/>
        </w:rPr>
        <w:t>The liability for future policy benefits (“LFPB”) for individual and group annuities is generally equal to the present value of expected future policy benefit payments. The reserves are computed using assumptions for mortality and interest. The LFPB for non-participating term life insurance, individual disability income contracts and individual and group long-term care contracts is generally equal to the present value of expected future policy benefit payments less the present value of expected net premiums. The reserves are computed using assumptions for mortality, interest, morbidity and lapse. Cohorts are used as the unit of account for liability measurement. Actual cash flows are grouped into issue -year cohorts for the liability calculation and updated quarterly. We review and update, if necessary, assumptions used to measure cash flows for the LFPB during the third quarter of each year, or more frequently if evidence suggests assumptions should be revised. The change in our liability estimate as a result of updating cash flow assumptions is recognized in net income.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58" w:name="page59"/>
    <w:bookmarkEnd w:id="5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 w:right="100" w:firstLine="576"/>
        <w:spacing w:after="0" w:line="243" w:lineRule="auto"/>
        <w:rPr>
          <w:sz w:val="20"/>
          <w:szCs w:val="20"/>
          <w:color w:val="auto"/>
        </w:rPr>
      </w:pPr>
      <w:r>
        <w:rPr>
          <w:rFonts w:ascii="Times New Roman" w:cs="Times New Roman" w:eastAsia="Times New Roman" w:hAnsi="Times New Roman"/>
          <w:sz w:val="16"/>
          <w:szCs w:val="16"/>
          <w:color w:val="auto"/>
        </w:rPr>
        <w:t>An interest accretion rate is determined for an identified cohort and remains unchanged after the issue year. For policies issued on or prior to December 31, 2020, the interest accretion rate is based on the assumed investment yield when the business was issued. For policies issued after December 31, 2020, the interest accretion rate is based on the upper- medium grade fixed -income instrument yields, which is generally equivalent to a single-A rated bond yield matched to the duration of our insurance liabilities, when the business was issued.</w:t>
      </w:r>
    </w:p>
    <w:p>
      <w:pPr>
        <w:spacing w:after="0" w:line="167" w:lineRule="exact"/>
        <w:rPr>
          <w:sz w:val="20"/>
          <w:szCs w:val="20"/>
          <w:color w:val="auto"/>
        </w:rPr>
      </w:pPr>
    </w:p>
    <w:p>
      <w:pPr>
        <w:ind w:left="2" w:right="60" w:firstLine="576"/>
        <w:spacing w:after="0" w:line="243" w:lineRule="auto"/>
        <w:rPr>
          <w:sz w:val="20"/>
          <w:szCs w:val="20"/>
          <w:color w:val="auto"/>
        </w:rPr>
      </w:pPr>
      <w:r>
        <w:rPr>
          <w:rFonts w:ascii="Times New Roman" w:cs="Times New Roman" w:eastAsia="Times New Roman" w:hAnsi="Times New Roman"/>
          <w:sz w:val="16"/>
          <w:szCs w:val="16"/>
          <w:color w:val="auto"/>
        </w:rPr>
        <w:t>The LFPB is remeasured to reflect current upper-medium grade fixed-income instrument yields as of each reporting date. The liability is calculated by discounting cash flows using rate curves reflecting the currency and duration of the insurance liabilities. For discount rate tenors, or points on the curves, where the upper-medium grade fixed-income instrument yields are not liquid or limited observable market data is available, we use various estimation techniques consistent with fair value measurement guidance.</w:t>
      </w:r>
    </w:p>
    <w:p>
      <w:pPr>
        <w:spacing w:after="0" w:line="167" w:lineRule="exact"/>
        <w:rPr>
          <w:sz w:val="20"/>
          <w:szCs w:val="20"/>
          <w:color w:val="auto"/>
        </w:rPr>
      </w:pPr>
    </w:p>
    <w:p>
      <w:pPr>
        <w:ind w:left="2" w:right="60" w:firstLine="576"/>
        <w:spacing w:after="0" w:line="243" w:lineRule="auto"/>
        <w:rPr>
          <w:sz w:val="20"/>
          <w:szCs w:val="20"/>
          <w:color w:val="auto"/>
        </w:rPr>
      </w:pPr>
      <w:r>
        <w:rPr>
          <w:rFonts w:ascii="Times New Roman" w:cs="Times New Roman" w:eastAsia="Times New Roman" w:hAnsi="Times New Roman"/>
          <w:sz w:val="16"/>
          <w:szCs w:val="16"/>
          <w:color w:val="auto"/>
        </w:rPr>
        <w:t>For our individual fixed income annuities in Latin America, the discount rate methodology is designed to prioritize observable inputs based on market data available in the local debt markets where the respective policies are issued in the currency in which the policies are denominated. For discount rate tenors where upper-medium grade fixed-income instrument yields based on international rating standards are not liquid or limited observable market data is available, estimation techniques are used to determine a curve in the appropriate currency.</w:t>
      </w:r>
    </w:p>
    <w:p>
      <w:pPr>
        <w:spacing w:after="0" w:line="16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Further details regarding reference rates used are included under “Interest Accretion and Current Discount Rates.”</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balances and the changes in the present value for expected future policy benefits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4"/>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4"/>
          </w:tcPr>
          <w:p>
            <w:pPr>
              <w:jc w:val="right"/>
              <w:ind w:right="68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25"/>
              <w:spacing w:after="0" w:line="134"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65"/>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85"/>
              <w:spacing w:after="0" w:line="134"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64"/>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rPr>
              <w:t>risk</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fixed income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risk</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fixed income</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8"/>
              </w:rPr>
              <w:t>transfer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annuities</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5"/>
              <w:spacing w:after="0"/>
              <w:rPr>
                <w:sz w:val="20"/>
                <w:szCs w:val="20"/>
                <w:color w:val="auto"/>
              </w:rPr>
            </w:pPr>
            <w:r>
              <w:rPr>
                <w:rFonts w:ascii="Times New Roman" w:cs="Times New Roman" w:eastAsia="Times New Roman" w:hAnsi="Times New Roman"/>
                <w:sz w:val="13"/>
                <w:szCs w:val="13"/>
                <w:b w:val="1"/>
                <w:bCs w:val="1"/>
                <w:color w:val="auto"/>
              </w:rPr>
              <w:t>transfer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annuities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4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future policy benefit payments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42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24,958.1</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4,504.6</w:t>
            </w:r>
          </w:p>
        </w:tc>
        <w:tc>
          <w:tcPr>
            <w:tcW w:w="48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23,855.8</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1,938.8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26,896.9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4,925.0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24,891.9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5,210.8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26,892.1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4,924.6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24,887.0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5,170.7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1,135.1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(603.9)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(123.2)</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(2,238.1)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Issuances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811.9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3,112.9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27,400.6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4,859.8</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26,896.9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(1,644.6)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(366.1)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(1,938.8)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25,756.0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4,493.7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24,958.1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Reinsurance impact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(4,453.9)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180" w:type="dxa"/>
            <w:vAlign w:val="bottom"/>
            <w:tcBorders>
              <w:bottom w:val="single" w:sz="8" w:color="CCEEFF"/>
            </w:tcBorders>
            <w:gridSpan w:val="2"/>
            <w:vMerge w:val="continue"/>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18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 after reinsurance</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25,756.0</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39.8</w:t>
            </w: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24,958.1</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duration for future policy benefits (years) (1)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7.2</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3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582" w:right="1240" w:hanging="4582"/>
        <w:spacing w:after="0" w:line="760" w:lineRule="auto"/>
        <w:tabs>
          <w:tab w:leader="none" w:pos="27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cohort-level duration of the benefit cash flows weighted by the reserve balance for each cohort.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591502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59" w:name="page60"/>
    <w:bookmarkEnd w:id="59"/>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Principal Asset Management – International Pension</w:t>
      </w:r>
    </w:p>
    <w:p>
      <w:pPr>
        <w:spacing w:after="0" w:line="192" w:lineRule="exact"/>
        <w:rPr>
          <w:sz w:val="20"/>
          <w:szCs w:val="20"/>
          <w:color w:val="auto"/>
        </w:rPr>
      </w:pPr>
    </w:p>
    <w:p>
      <w:pPr>
        <w:ind w:left="2" w:right="40" w:firstLine="576"/>
        <w:spacing w:after="0" w:line="259" w:lineRule="auto"/>
        <w:rPr>
          <w:sz w:val="20"/>
          <w:szCs w:val="20"/>
          <w:color w:val="auto"/>
        </w:rPr>
      </w:pPr>
      <w:r>
        <w:rPr>
          <w:rFonts w:ascii="Times New Roman" w:cs="Times New Roman" w:eastAsia="Times New Roman" w:hAnsi="Times New Roman"/>
          <w:sz w:val="16"/>
          <w:szCs w:val="16"/>
          <w:color w:val="auto"/>
        </w:rPr>
        <w:t>The balances and the changes in the present value for expected future policy benefits for Latin America – Individual fixed income annuities were as follows: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80" w:type="dxa"/>
            <w:vAlign w:val="bottom"/>
          </w:tcPr>
          <w:p>
            <w:pPr>
              <w:spacing w:after="0"/>
              <w:rPr>
                <w:sz w:val="13"/>
                <w:szCs w:val="13"/>
                <w:color w:val="auto"/>
              </w:rPr>
            </w:pPr>
          </w:p>
        </w:tc>
        <w:tc>
          <w:tcPr>
            <w:tcW w:w="146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460" w:type="dxa"/>
            <w:vAlign w:val="bottom"/>
          </w:tcPr>
          <w:p>
            <w:pPr>
              <w:spacing w:after="0"/>
              <w:rPr>
                <w:sz w:val="11"/>
                <w:szCs w:val="11"/>
                <w:color w:val="auto"/>
              </w:rPr>
            </w:pPr>
          </w:p>
        </w:tc>
      </w:tr>
      <w:tr>
        <w:trPr>
          <w:trHeight w:val="180"/>
        </w:trPr>
        <w:tc>
          <w:tcPr>
            <w:tcW w:w="5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future policy benefit payments</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5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4,126.9</w:t>
            </w:r>
          </w:p>
        </w:tc>
        <w:tc>
          <w:tcPr>
            <w:tcW w:w="22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4,593.7</w:t>
            </w:r>
          </w:p>
        </w:tc>
      </w:tr>
      <w:tr>
        <w:trPr>
          <w:trHeight w:val="180"/>
        </w:trPr>
        <w:tc>
          <w:tcPr>
            <w:tcW w:w="5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(368.4)</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w:t>
            </w:r>
          </w:p>
        </w:tc>
      </w:tr>
      <w:tr>
        <w:trPr>
          <w:trHeight w:val="172"/>
        </w:trPr>
        <w:tc>
          <w:tcPr>
            <w:tcW w:w="55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100" w:type="dxa"/>
            <w:vAlign w:val="bottom"/>
          </w:tcPr>
          <w:p>
            <w:pPr>
              <w:spacing w:after="0"/>
              <w:rPr>
                <w:sz w:val="14"/>
                <w:szCs w:val="14"/>
                <w:color w:val="auto"/>
              </w:rPr>
            </w:pPr>
          </w:p>
        </w:tc>
        <w:tc>
          <w:tcPr>
            <w:tcW w:w="17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3,758.5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4,241.9</w:t>
            </w:r>
          </w:p>
        </w:tc>
      </w:tr>
      <w:tr>
        <w:trPr>
          <w:trHeight w:val="180"/>
        </w:trPr>
        <w:tc>
          <w:tcPr>
            <w:tcW w:w="55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72"/>
        </w:trPr>
        <w:tc>
          <w:tcPr>
            <w:tcW w:w="55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100" w:type="dxa"/>
            <w:vAlign w:val="bottom"/>
          </w:tcPr>
          <w:p>
            <w:pPr>
              <w:spacing w:after="0"/>
              <w:rPr>
                <w:sz w:val="14"/>
                <w:szCs w:val="14"/>
                <w:color w:val="auto"/>
              </w:rPr>
            </w:pPr>
          </w:p>
        </w:tc>
        <w:tc>
          <w:tcPr>
            <w:tcW w:w="17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3,759.0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4,243.0</w:t>
            </w:r>
          </w:p>
        </w:tc>
      </w:tr>
      <w:tr>
        <w:trPr>
          <w:trHeight w:val="180"/>
        </w:trPr>
        <w:tc>
          <w:tcPr>
            <w:tcW w:w="55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 (1)</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88.8</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w:t>
            </w:r>
          </w:p>
        </w:tc>
      </w:tr>
      <w:tr>
        <w:trPr>
          <w:trHeight w:val="180"/>
        </w:trPr>
        <w:tc>
          <w:tcPr>
            <w:tcW w:w="55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100" w:type="dxa"/>
            <w:vAlign w:val="bottom"/>
          </w:tcPr>
          <w:p>
            <w:pPr>
              <w:spacing w:after="0"/>
              <w:rPr>
                <w:sz w:val="15"/>
                <w:szCs w:val="15"/>
                <w:color w:val="auto"/>
              </w:rPr>
            </w:pPr>
          </w:p>
        </w:tc>
        <w:tc>
          <w:tcPr>
            <w:tcW w:w="1920" w:type="dxa"/>
            <w:vAlign w:val="bottom"/>
            <w:gridSpan w:val="2"/>
          </w:tcPr>
          <w:p>
            <w:pPr>
              <w:jc w:val="right"/>
              <w:ind w:right="154"/>
              <w:spacing w:after="0" w:line="180" w:lineRule="exact"/>
              <w:rPr>
                <w:sz w:val="20"/>
                <w:szCs w:val="20"/>
                <w:color w:val="auto"/>
              </w:rPr>
            </w:pPr>
            <w:r>
              <w:rPr>
                <w:rFonts w:ascii="Times New Roman" w:cs="Times New Roman" w:eastAsia="Times New Roman" w:hAnsi="Times New Roman"/>
                <w:sz w:val="16"/>
                <w:szCs w:val="16"/>
                <w:b w:val="1"/>
                <w:bCs w:val="1"/>
                <w:color w:val="auto"/>
              </w:rPr>
              <w:t>(82.0)</w:t>
            </w:r>
          </w:p>
        </w:tc>
        <w:tc>
          <w:tcPr>
            <w:tcW w:w="28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(326.7)</w:t>
            </w:r>
          </w:p>
        </w:tc>
      </w:tr>
      <w:tr>
        <w:trPr>
          <w:trHeight w:val="180"/>
        </w:trPr>
        <w:tc>
          <w:tcPr>
            <w:tcW w:w="55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Issuances</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29.4</w:t>
            </w:r>
          </w:p>
        </w:tc>
      </w:tr>
      <w:tr>
        <w:trPr>
          <w:trHeight w:val="180"/>
        </w:trPr>
        <w:tc>
          <w:tcPr>
            <w:tcW w:w="55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167.0</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(517.4)</w:t>
            </w:r>
          </w:p>
        </w:tc>
      </w:tr>
      <w:tr>
        <w:trPr>
          <w:trHeight w:val="172"/>
        </w:trPr>
        <w:tc>
          <w:tcPr>
            <w:tcW w:w="55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3,934.6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3,758.5</w:t>
            </w:r>
          </w:p>
        </w:tc>
      </w:tr>
      <w:tr>
        <w:trPr>
          <w:trHeight w:val="180"/>
        </w:trPr>
        <w:tc>
          <w:tcPr>
            <w:tcW w:w="55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379.1</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368.4</w:t>
            </w:r>
          </w:p>
        </w:tc>
      </w:tr>
      <w:tr>
        <w:trPr>
          <w:trHeight w:val="172"/>
        </w:trPr>
        <w:tc>
          <w:tcPr>
            <w:tcW w:w="558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4,313.7</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4,126.9</w:t>
            </w:r>
          </w:p>
        </w:tc>
      </w:tr>
      <w:tr>
        <w:trPr>
          <w:trHeight w:val="20"/>
        </w:trPr>
        <w:tc>
          <w:tcPr>
            <w:tcW w:w="23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5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duration for future policy benefits (years) (2)</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r>
      <w:tr>
        <w:trPr>
          <w:trHeight w:val="96"/>
        </w:trPr>
        <w:tc>
          <w:tcPr>
            <w:tcW w:w="232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r>
    </w:tbl>
    <w:p>
      <w:pPr>
        <w:spacing w:after="0" w:line="59" w:lineRule="exact"/>
        <w:rPr>
          <w:sz w:val="20"/>
          <w:szCs w:val="20"/>
          <w:color w:val="auto"/>
        </w:rPr>
      </w:pPr>
    </w:p>
    <w:p>
      <w:pPr>
        <w:ind w:left="282" w:hanging="282"/>
        <w:spacing w:after="0"/>
        <w:tabs>
          <w:tab w:leader="none" w:pos="28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inflation adjustments.</w:t>
      </w:r>
    </w:p>
    <w:p>
      <w:pPr>
        <w:spacing w:after="0" w:line="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cohort-level duration of the benefit cash flows weighted by the reserve balance for each cohort.</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0" w:name="page61"/>
    <w:bookmarkEnd w:id="6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balances and the changes in the present value for expected net premiums and expected future policy benefits were as follows:</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2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20"/>
              <w:spacing w:after="0" w:line="134" w:lineRule="exact"/>
              <w:rPr>
                <w:sz w:val="20"/>
                <w:szCs w:val="20"/>
                <w:color w:val="auto"/>
              </w:rPr>
            </w:pPr>
            <w:r>
              <w:rPr>
                <w:rFonts w:ascii="Times New Roman" w:cs="Times New Roman" w:eastAsia="Times New Roman" w:hAnsi="Times New Roman"/>
                <w:sz w:val="13"/>
                <w:szCs w:val="13"/>
                <w:b w:val="1"/>
                <w:bCs w:val="1"/>
                <w:color w:val="auto"/>
              </w:rPr>
              <w:t>Specialty</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3"/>
              <w:spacing w:after="0" w:line="134" w:lineRule="exact"/>
              <w:rPr>
                <w:sz w:val="20"/>
                <w:szCs w:val="20"/>
                <w:color w:val="auto"/>
              </w:rPr>
            </w:pPr>
            <w:r>
              <w:rPr>
                <w:rFonts w:ascii="Times New Roman" w:cs="Times New Roman" w:eastAsia="Times New Roman" w:hAnsi="Times New Roman"/>
                <w:sz w:val="13"/>
                <w:szCs w:val="13"/>
                <w:b w:val="1"/>
                <w:bCs w:val="1"/>
                <w:color w:val="auto"/>
                <w:w w:val="98"/>
              </w:rPr>
              <w:t>Life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4"/>
              <w:spacing w:after="0" w:line="134" w:lineRule="exact"/>
              <w:rPr>
                <w:sz w:val="20"/>
                <w:szCs w:val="20"/>
                <w:color w:val="auto"/>
              </w:rPr>
            </w:pPr>
            <w:r>
              <w:rPr>
                <w:rFonts w:ascii="Times New Roman" w:cs="Times New Roman" w:eastAsia="Times New Roman" w:hAnsi="Times New Roman"/>
                <w:sz w:val="13"/>
                <w:szCs w:val="13"/>
                <w:b w:val="1"/>
                <w:bCs w:val="1"/>
                <w:color w:val="auto"/>
              </w:rPr>
              <w:t>Specialty</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3"/>
              <w:spacing w:after="0" w:line="134" w:lineRule="exact"/>
              <w:rPr>
                <w:sz w:val="20"/>
                <w:szCs w:val="20"/>
                <w:color w:val="auto"/>
              </w:rPr>
            </w:pPr>
            <w:r>
              <w:rPr>
                <w:rFonts w:ascii="Times New Roman" w:cs="Times New Roman" w:eastAsia="Times New Roman" w:hAnsi="Times New Roman"/>
                <w:sz w:val="13"/>
                <w:szCs w:val="13"/>
                <w:b w:val="1"/>
                <w:bCs w:val="1"/>
                <w:color w:val="auto"/>
                <w:w w:val="98"/>
              </w:rPr>
              <w:t>Life</w:t>
            </w:r>
          </w:p>
        </w:tc>
      </w:tr>
      <w:tr>
        <w:trPr>
          <w:trHeight w:val="170"/>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00" w:type="dxa"/>
            <w:vAlign w:val="bottom"/>
          </w:tcPr>
          <w:p>
            <w:pPr>
              <w:spacing w:after="0"/>
              <w:rPr>
                <w:sz w:val="14"/>
                <w:szCs w:val="14"/>
                <w:color w:val="auto"/>
              </w:rPr>
            </w:pPr>
          </w:p>
        </w:tc>
        <w:tc>
          <w:tcPr>
            <w:tcW w:w="86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Insurance</w:t>
            </w:r>
          </w:p>
        </w:tc>
      </w:tr>
      <w:tr>
        <w:trPr>
          <w:trHeight w:val="134"/>
        </w:trPr>
        <w:tc>
          <w:tcPr>
            <w:tcW w:w="2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24"/>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Term life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Term life</w:t>
            </w:r>
          </w:p>
        </w:tc>
      </w:tr>
      <w:tr>
        <w:trPr>
          <w:trHeight w:val="136"/>
        </w:trPr>
        <w:tc>
          <w:tcPr>
            <w:tcW w:w="2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060" w:type="dxa"/>
            <w:vAlign w:val="bottom"/>
            <w:gridSpan w:val="4"/>
          </w:tcPr>
          <w:p>
            <w:pPr>
              <w:jc w:val="center"/>
              <w:ind w:right="484"/>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net premiums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5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2,680.6</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4,107.2</w:t>
            </w:r>
          </w:p>
        </w:tc>
        <w:tc>
          <w:tcPr>
            <w:tcW w:w="100" w:type="dxa"/>
            <w:vAlign w:val="bottom"/>
          </w:tcPr>
          <w:p>
            <w:pPr>
              <w:spacing w:after="0"/>
              <w:rPr>
                <w:sz w:val="15"/>
                <w:szCs w:val="15"/>
                <w:color w:val="auto"/>
              </w:rPr>
            </w:pPr>
          </w:p>
        </w:tc>
        <w:tc>
          <w:tcPr>
            <w:tcW w:w="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2,552.3</w:t>
            </w:r>
          </w:p>
        </w:tc>
        <w:tc>
          <w:tcPr>
            <w:tcW w:w="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3,793.7</w:t>
            </w: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 period</w:t>
            </w:r>
          </w:p>
        </w:tc>
        <w:tc>
          <w:tcPr>
            <w:tcW w:w="4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436.4</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313.7</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100.1</w:t>
            </w:r>
          </w:p>
        </w:tc>
      </w:tr>
      <w:tr>
        <w:trPr>
          <w:trHeight w:val="172"/>
        </w:trPr>
        <w:tc>
          <w:tcPr>
            <w:tcW w:w="48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3,117.0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4,397.3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2,866.0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3,893.8</w:t>
            </w:r>
          </w:p>
        </w:tc>
      </w:tr>
      <w:tr>
        <w:trPr>
          <w:trHeight w:val="180"/>
        </w:trPr>
        <w:tc>
          <w:tcPr>
            <w:tcW w:w="48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7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183.9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419.9</w:t>
            </w:r>
          </w:p>
        </w:tc>
      </w:tr>
      <w:tr>
        <w:trPr>
          <w:trHeight w:val="180"/>
        </w:trPr>
        <w:tc>
          <w:tcPr>
            <w:tcW w:w="48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28.7</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168.3</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42.5</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3,145.7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4,399.7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3,218.2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4,356.2</w:t>
            </w:r>
          </w:p>
        </w:tc>
      </w:tr>
      <w:tr>
        <w:trPr>
          <w:trHeight w:val="180"/>
        </w:trPr>
        <w:tc>
          <w:tcPr>
            <w:tcW w:w="48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190.9</w:t>
            </w:r>
          </w:p>
        </w:tc>
      </w:tr>
      <w:tr>
        <w:trPr>
          <w:trHeight w:val="180"/>
        </w:trPr>
        <w:tc>
          <w:tcPr>
            <w:tcW w:w="48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premiums collected</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(72.8)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(390.8)</w:t>
            </w:r>
          </w:p>
        </w:tc>
      </w:tr>
      <w:tr>
        <w:trPr>
          <w:trHeight w:val="180"/>
        </w:trPr>
        <w:tc>
          <w:tcPr>
            <w:tcW w:w="48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Issuances</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84.4</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241.0</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3,118.4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4,402.9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3,117.0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4,397.3</w:t>
            </w:r>
          </w:p>
        </w:tc>
      </w:tr>
      <w:tr>
        <w:trPr>
          <w:trHeight w:val="180"/>
        </w:trPr>
        <w:tc>
          <w:tcPr>
            <w:tcW w:w="48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(436.4)</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(290.1)</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2,717.9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4,163.8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2,680.6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4,107.2</w:t>
            </w:r>
          </w:p>
        </w:tc>
      </w:tr>
      <w:tr>
        <w:trPr>
          <w:trHeight w:val="180"/>
        </w:trPr>
        <w:tc>
          <w:tcPr>
            <w:tcW w:w="23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future policy benefit payments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5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4,509.6</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5,355.2</w:t>
            </w:r>
          </w:p>
        </w:tc>
        <w:tc>
          <w:tcPr>
            <w:tcW w:w="100" w:type="dxa"/>
            <w:vAlign w:val="bottom"/>
          </w:tcPr>
          <w:p>
            <w:pPr>
              <w:spacing w:after="0"/>
              <w:rPr>
                <w:sz w:val="15"/>
                <w:szCs w:val="15"/>
                <w:color w:val="auto"/>
              </w:rPr>
            </w:pPr>
          </w:p>
        </w:tc>
        <w:tc>
          <w:tcPr>
            <w:tcW w:w="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4,450.7</w:t>
            </w:r>
          </w:p>
        </w:tc>
        <w:tc>
          <w:tcPr>
            <w:tcW w:w="3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4,879.6</w:t>
            </w: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 period</w:t>
            </w:r>
          </w:p>
        </w:tc>
        <w:tc>
          <w:tcPr>
            <w:tcW w:w="4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1,302.8</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903.5</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124.5</w:t>
            </w:r>
          </w:p>
        </w:tc>
      </w:tr>
      <w:tr>
        <w:trPr>
          <w:trHeight w:val="172"/>
        </w:trPr>
        <w:tc>
          <w:tcPr>
            <w:tcW w:w="48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5,812.4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5,721.2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5,354.2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5,004.1</w:t>
            </w:r>
          </w:p>
        </w:tc>
      </w:tr>
      <w:tr>
        <w:trPr>
          <w:trHeight w:val="180"/>
        </w:trPr>
        <w:tc>
          <w:tcPr>
            <w:tcW w:w="48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7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488.1</w:t>
            </w:r>
          </w:p>
        </w:tc>
      </w:tr>
      <w:tr>
        <w:trPr>
          <w:trHeight w:val="180"/>
        </w:trPr>
        <w:tc>
          <w:tcPr>
            <w:tcW w:w="48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173.2</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45.1</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5,841.9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5,721.4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5,743.6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5,537.3</w:t>
            </w:r>
          </w:p>
        </w:tc>
      </w:tr>
      <w:tr>
        <w:trPr>
          <w:trHeight w:val="180"/>
        </w:trPr>
        <w:tc>
          <w:tcPr>
            <w:tcW w:w="48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247.9</w:t>
            </w:r>
          </w:p>
        </w:tc>
      </w:tr>
      <w:tr>
        <w:trPr>
          <w:trHeight w:val="180"/>
        </w:trPr>
        <w:tc>
          <w:tcPr>
            <w:tcW w:w="48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(57.0)</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b w:val="1"/>
                <w:bCs w:val="1"/>
                <w:color w:val="auto"/>
              </w:rPr>
              <w:t>(89.2)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(219.0)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(321.6)</w:t>
            </w:r>
          </w:p>
        </w:tc>
      </w:tr>
      <w:tr>
        <w:trPr>
          <w:trHeight w:val="180"/>
        </w:trPr>
        <w:tc>
          <w:tcPr>
            <w:tcW w:w="480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Issuances</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257.6</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5,855.9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5,755.0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5,812.4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5,721.2</w:t>
            </w:r>
          </w:p>
        </w:tc>
      </w:tr>
      <w:tr>
        <w:trPr>
          <w:trHeight w:val="180"/>
        </w:trPr>
        <w:tc>
          <w:tcPr>
            <w:tcW w:w="48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(1,247.0)</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(1,302.8)</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(366.0)</w:t>
            </w:r>
          </w:p>
        </w:tc>
      </w:tr>
      <w:tr>
        <w:trPr>
          <w:trHeight w:val="172"/>
        </w:trPr>
        <w:tc>
          <w:tcPr>
            <w:tcW w:w="4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4,608.9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5,462.9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4,509.6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5,355.2</w:t>
            </w:r>
          </w:p>
        </w:tc>
      </w:tr>
      <w:tr>
        <w:trPr>
          <w:trHeight w:val="180"/>
        </w:trPr>
        <w:tc>
          <w:tcPr>
            <w:tcW w:w="23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Future policy benefits (1)</w:t>
            </w:r>
          </w:p>
        </w:tc>
        <w:tc>
          <w:tcPr>
            <w:tcW w:w="5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1,891.0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1,299.1</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1,829.0</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1,248.0</w:t>
            </w:r>
          </w:p>
        </w:tc>
      </w:tr>
      <w:tr>
        <w:trPr>
          <w:trHeight w:val="180"/>
        </w:trPr>
        <w:tc>
          <w:tcPr>
            <w:tcW w:w="48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Reinsurance impact</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(423.5)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(412.1)</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r>
      <w:tr>
        <w:trPr>
          <w:trHeight w:val="172"/>
        </w:trPr>
        <w:tc>
          <w:tcPr>
            <w:tcW w:w="48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 after reinsurance</w:t>
            </w: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1,467.5</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1,323.7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1,416.9</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1,267.5</w:t>
            </w:r>
          </w:p>
        </w:tc>
      </w:tr>
      <w:tr>
        <w:trPr>
          <w:trHeight w:val="20"/>
        </w:trPr>
        <w:tc>
          <w:tcPr>
            <w:tcW w:w="2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0"/>
        </w:trPr>
        <w:tc>
          <w:tcPr>
            <w:tcW w:w="4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duration for future policy benefits (years) (2)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w:t>
            </w:r>
          </w:p>
        </w:tc>
      </w:tr>
      <w:tr>
        <w:trPr>
          <w:trHeight w:val="96"/>
        </w:trPr>
        <w:tc>
          <w:tcPr>
            <w:tcW w:w="23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59" w:lineRule="exact"/>
        <w:rPr>
          <w:sz w:val="20"/>
          <w:szCs w:val="20"/>
          <w:color w:val="auto"/>
        </w:rPr>
      </w:pPr>
    </w:p>
    <w:p>
      <w:pPr>
        <w:ind w:left="282" w:hanging="282"/>
        <w:spacing w:after="0"/>
        <w:tabs>
          <w:tab w:leader="none" w:pos="28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present value of expected future policy benefit payments less the present value of expected net premiums.</w:t>
      </w:r>
    </w:p>
    <w:p>
      <w:pPr>
        <w:spacing w:after="0" w:line="14" w:lineRule="exact"/>
        <w:rPr>
          <w:rFonts w:ascii="Times New Roman" w:cs="Times New Roman" w:eastAsia="Times New Roman" w:hAnsi="Times New Roman"/>
          <w:sz w:val="16"/>
          <w:szCs w:val="16"/>
          <w:color w:val="auto"/>
        </w:rPr>
      </w:pPr>
    </w:p>
    <w:p>
      <w:pPr>
        <w:ind w:left="282" w:right="320" w:hanging="282"/>
        <w:spacing w:after="0" w:line="238" w:lineRule="auto"/>
        <w:tabs>
          <w:tab w:leader="none" w:pos="28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cohort-level duration of the benefits less the net premium cash flows weighted by the reserve balance for each cohort.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1" w:name="page62"/>
    <w:bookmarkEnd w:id="6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 w:right="80" w:firstLine="576"/>
        <w:spacing w:after="0" w:line="243" w:lineRule="auto"/>
        <w:rPr>
          <w:sz w:val="20"/>
          <w:szCs w:val="20"/>
          <w:color w:val="auto"/>
        </w:rPr>
      </w:pPr>
      <w:r>
        <w:rPr>
          <w:rFonts w:ascii="Times New Roman" w:cs="Times New Roman" w:eastAsia="Times New Roman" w:hAnsi="Times New Roman"/>
          <w:sz w:val="16"/>
          <w:szCs w:val="16"/>
          <w:color w:val="auto"/>
        </w:rPr>
        <w:t>We updated our actuarial assumptions during the third quarter of 2024, resulting in a $32.3 million increase in the LFPB and an $18.2 million decrease to income before taxes, net of reinsurance, for Individual disability. This was primarily due to unfavorable updates to termination and lapse assumptions. The updates also resulted in a $68.2 million increase in the LFPB and a $52.9 million decrease to income before taxes, net of reinsurance, for Term life. This was primarily due to unfavorable updates to mortality and lapse assumptions.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Additional Liability for Certain Benefit Features</w:t>
      </w:r>
    </w:p>
    <w:p>
      <w:pPr>
        <w:spacing w:after="0" w:line="192" w:lineRule="exact"/>
        <w:rPr>
          <w:sz w:val="20"/>
          <w:szCs w:val="20"/>
          <w:color w:val="auto"/>
        </w:rPr>
      </w:pPr>
    </w:p>
    <w:p>
      <w:pPr>
        <w:ind w:left="2" w:firstLine="576"/>
        <w:spacing w:after="0" w:line="241" w:lineRule="auto"/>
        <w:rPr>
          <w:sz w:val="20"/>
          <w:szCs w:val="20"/>
          <w:color w:val="auto"/>
        </w:rPr>
      </w:pPr>
      <w:r>
        <w:rPr>
          <w:rFonts w:ascii="Times New Roman" w:cs="Times New Roman" w:eastAsia="Times New Roman" w:hAnsi="Times New Roman"/>
          <w:sz w:val="16"/>
          <w:szCs w:val="16"/>
          <w:color w:val="auto"/>
        </w:rPr>
        <w:t>The LFPB also includes an additional reserve on certain universal life contracts where benefit features result in gains in early years followed by losses in later years. The liability for these future losses is accrued in relation to estimated contract assessments. A premium deficiency exists if the net liabilities together with future premiums are determined to be insufficient to provide for expected future policy benefits. Premium deficiency testing considers, among other factors, anticipated investment income and does not include a provision for adverse deviation. We did not have a premium deficiency reserve as of March 31, 2025 or December 31, 2024.</w:t>
      </w:r>
    </w:p>
    <w:p>
      <w:pPr>
        <w:spacing w:after="0" w:line="169" w:lineRule="exact"/>
        <w:rPr>
          <w:sz w:val="20"/>
          <w:szCs w:val="20"/>
          <w:color w:val="auto"/>
        </w:rPr>
      </w:pPr>
    </w:p>
    <w:p>
      <w:pPr>
        <w:ind w:left="2" w:right="220" w:firstLine="576"/>
        <w:spacing w:after="0" w:line="259" w:lineRule="auto"/>
        <w:rPr>
          <w:sz w:val="20"/>
          <w:szCs w:val="20"/>
          <w:color w:val="auto"/>
        </w:rPr>
      </w:pPr>
      <w:r>
        <w:rPr>
          <w:rFonts w:ascii="Times New Roman" w:cs="Times New Roman" w:eastAsia="Times New Roman" w:hAnsi="Times New Roman"/>
          <w:sz w:val="16"/>
          <w:szCs w:val="16"/>
          <w:color w:val="auto"/>
        </w:rPr>
        <w:t>The balances and the changes in the additional liability for certain benefit features for Life Insurance - Universal life contracts, excluding the impact of unrealized gains (losses), were as follows: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80" w:type="dxa"/>
            <w:vAlign w:val="bottom"/>
          </w:tcPr>
          <w:p>
            <w:pPr>
              <w:spacing w:after="0"/>
              <w:rPr>
                <w:sz w:val="13"/>
                <w:szCs w:val="13"/>
                <w:color w:val="auto"/>
              </w:rPr>
            </w:pPr>
          </w:p>
        </w:tc>
        <w:tc>
          <w:tcPr>
            <w:tcW w:w="140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400" w:type="dxa"/>
            <w:vAlign w:val="bottom"/>
          </w:tcPr>
          <w:p>
            <w:pPr>
              <w:spacing w:after="0"/>
              <w:rPr>
                <w:sz w:val="11"/>
                <w:szCs w:val="11"/>
                <w:color w:val="auto"/>
              </w:rPr>
            </w:pPr>
          </w:p>
        </w:tc>
      </w:tr>
      <w:tr>
        <w:trPr>
          <w:trHeight w:val="180"/>
        </w:trPr>
        <w:tc>
          <w:tcPr>
            <w:tcW w:w="5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6,037.2</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5,326.5</w:t>
            </w:r>
          </w:p>
        </w:tc>
      </w:tr>
      <w:tr>
        <w:trPr>
          <w:trHeight w:val="180"/>
        </w:trPr>
        <w:tc>
          <w:tcPr>
            <w:tcW w:w="5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60" w:type="dxa"/>
            <w:vAlign w:val="bottom"/>
          </w:tcPr>
          <w:p>
            <w:pPr>
              <w:spacing w:after="0"/>
              <w:rPr>
                <w:sz w:val="15"/>
                <w:szCs w:val="15"/>
                <w:color w:val="auto"/>
              </w:rPr>
            </w:pPr>
          </w:p>
        </w:tc>
        <w:tc>
          <w:tcPr>
            <w:tcW w:w="1880" w:type="dxa"/>
            <w:vAlign w:val="bottom"/>
            <w:gridSpan w:val="2"/>
          </w:tcPr>
          <w:p>
            <w:pPr>
              <w:jc w:val="right"/>
              <w:ind w:right="19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151.9</w:t>
            </w:r>
          </w:p>
        </w:tc>
      </w:tr>
      <w:tr>
        <w:trPr>
          <w:trHeight w:val="180"/>
        </w:trPr>
        <w:tc>
          <w:tcPr>
            <w:tcW w:w="5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28.0</w:t>
            </w:r>
          </w:p>
        </w:tc>
      </w:tr>
      <w:tr>
        <w:trPr>
          <w:trHeight w:val="180"/>
        </w:trPr>
        <w:tc>
          <w:tcPr>
            <w:tcW w:w="5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6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253.3</w:t>
            </w:r>
          </w:p>
        </w:tc>
      </w:tr>
      <w:tr>
        <w:trPr>
          <w:trHeight w:val="180"/>
        </w:trPr>
        <w:tc>
          <w:tcPr>
            <w:tcW w:w="5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assessments collected</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107.1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425.2</w:t>
            </w:r>
          </w:p>
        </w:tc>
      </w:tr>
      <w:tr>
        <w:trPr>
          <w:trHeight w:val="180"/>
        </w:trPr>
        <w:tc>
          <w:tcPr>
            <w:tcW w:w="5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60" w:type="dxa"/>
            <w:vAlign w:val="bottom"/>
          </w:tcPr>
          <w:p>
            <w:pPr>
              <w:spacing w:after="0"/>
              <w:rPr>
                <w:sz w:val="15"/>
                <w:szCs w:val="15"/>
                <w:color w:val="auto"/>
              </w:rPr>
            </w:pPr>
          </w:p>
        </w:tc>
        <w:tc>
          <w:tcPr>
            <w:tcW w:w="1880" w:type="dxa"/>
            <w:vAlign w:val="bottom"/>
            <w:gridSpan w:val="2"/>
          </w:tcPr>
          <w:p>
            <w:pPr>
              <w:jc w:val="right"/>
              <w:ind w:right="154"/>
              <w:spacing w:after="0" w:line="180" w:lineRule="exact"/>
              <w:rPr>
                <w:sz w:val="20"/>
                <w:szCs w:val="20"/>
                <w:color w:val="auto"/>
              </w:rPr>
            </w:pPr>
            <w:r>
              <w:rPr>
                <w:rFonts w:ascii="Times New Roman" w:cs="Times New Roman" w:eastAsia="Times New Roman" w:hAnsi="Times New Roman"/>
                <w:sz w:val="16"/>
                <w:szCs w:val="16"/>
                <w:b w:val="1"/>
                <w:bCs w:val="1"/>
                <w:color w:val="auto"/>
              </w:rPr>
              <w:t>(33.2)</w:t>
            </w:r>
          </w:p>
        </w:tc>
        <w:tc>
          <w:tcPr>
            <w:tcW w:w="2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(147.7)</w:t>
            </w:r>
          </w:p>
        </w:tc>
      </w:tr>
      <w:tr>
        <w:trPr>
          <w:trHeight w:val="172"/>
        </w:trPr>
        <w:tc>
          <w:tcPr>
            <w:tcW w:w="572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6,191.2</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6,037.2</w:t>
            </w:r>
          </w:p>
        </w:tc>
      </w:tr>
      <w:tr>
        <w:trPr>
          <w:trHeight w:val="180"/>
        </w:trPr>
        <w:tc>
          <w:tcPr>
            <w:tcW w:w="57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Reinsurance impact</w:t>
            </w: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(6,164.9)</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(6,011.3)</w:t>
            </w:r>
          </w:p>
        </w:tc>
      </w:tr>
      <w:tr>
        <w:trPr>
          <w:trHeight w:val="172"/>
        </w:trPr>
        <w:tc>
          <w:tcPr>
            <w:tcW w:w="57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after reinsurance</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26.3</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25.9</w:t>
            </w:r>
          </w:p>
        </w:tc>
      </w:tr>
      <w:tr>
        <w:trPr>
          <w:trHeight w:val="20"/>
        </w:trPr>
        <w:tc>
          <w:tcPr>
            <w:tcW w:w="2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7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duration for additional liability (years) (1)</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r>
      <w:tr>
        <w:trPr>
          <w:trHeight w:val="96"/>
        </w:trPr>
        <w:tc>
          <w:tcPr>
            <w:tcW w:w="23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r>
    </w:tbl>
    <w:p>
      <w:pPr>
        <w:spacing w:after="0" w:line="59" w:lineRule="exact"/>
        <w:rPr>
          <w:sz w:val="20"/>
          <w:szCs w:val="20"/>
          <w:color w:val="auto"/>
        </w:rPr>
      </w:pPr>
    </w:p>
    <w:p>
      <w:pPr>
        <w:ind w:left="282" w:right="200" w:hanging="282"/>
        <w:spacing w:after="0" w:line="259" w:lineRule="auto"/>
        <w:tabs>
          <w:tab w:leader="none" w:pos="28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average of the cohort-level duration of the benefits less the net assessment cash flows weighted by the reserve balance for each cohort.</w:t>
      </w:r>
    </w:p>
    <w:p>
      <w:pPr>
        <w:spacing w:after="0" w:line="155" w:lineRule="exact"/>
        <w:rPr>
          <w:sz w:val="20"/>
          <w:szCs w:val="20"/>
          <w:color w:val="auto"/>
        </w:rPr>
      </w:pPr>
    </w:p>
    <w:p>
      <w:pPr>
        <w:ind w:left="2" w:right="60" w:firstLine="576"/>
        <w:spacing w:after="0" w:line="247" w:lineRule="auto"/>
        <w:rPr>
          <w:sz w:val="20"/>
          <w:szCs w:val="20"/>
          <w:color w:val="auto"/>
        </w:rPr>
      </w:pPr>
      <w:r>
        <w:rPr>
          <w:rFonts w:ascii="Times New Roman" w:cs="Times New Roman" w:eastAsia="Times New Roman" w:hAnsi="Times New Roman"/>
          <w:sz w:val="16"/>
          <w:szCs w:val="16"/>
          <w:color w:val="auto"/>
        </w:rPr>
        <w:t>We updated our actuarial assumptions during the third quarter of 2024, resulting in a $151.9 million increase in the additional liability for certain benefit features primarily due to mortality assumptions related to ULSG products, resulting in a $0.3 million decrease to income before taxes, net of reinsurance.</w:t>
      </w:r>
    </w:p>
    <w:p>
      <w:pPr>
        <w:spacing w:after="0" w:line="35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62" w:name="page63"/>
    <w:bookmarkEnd w:id="6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Corporate</w:t>
      </w:r>
    </w:p>
    <w:p>
      <w:pPr>
        <w:spacing w:after="0" w:line="192" w:lineRule="exact"/>
        <w:rPr>
          <w:sz w:val="20"/>
          <w:szCs w:val="20"/>
          <w:color w:val="auto"/>
        </w:rPr>
      </w:pPr>
    </w:p>
    <w:p>
      <w:pPr>
        <w:ind w:left="2" w:right="540" w:firstLine="576"/>
        <w:spacing w:after="0" w:line="259" w:lineRule="auto"/>
        <w:rPr>
          <w:sz w:val="20"/>
          <w:szCs w:val="20"/>
          <w:color w:val="auto"/>
        </w:rPr>
      </w:pPr>
      <w:r>
        <w:rPr>
          <w:rFonts w:ascii="Times New Roman" w:cs="Times New Roman" w:eastAsia="Times New Roman" w:hAnsi="Times New Roman"/>
          <w:sz w:val="16"/>
          <w:szCs w:val="16"/>
          <w:color w:val="auto"/>
        </w:rPr>
        <w:t>The balances and the changes in the present value for expected net premiums and expected future policy benefits for long-term care insurance were as follows: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5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460" w:type="dxa"/>
            <w:vAlign w:val="bottom"/>
          </w:tcPr>
          <w:p>
            <w:pPr>
              <w:spacing w:after="0"/>
              <w:rPr>
                <w:sz w:val="11"/>
                <w:szCs w:val="11"/>
                <w:color w:val="auto"/>
              </w:rPr>
            </w:pP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net premiums</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55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30.8</w:t>
            </w:r>
          </w:p>
        </w:tc>
        <w:tc>
          <w:tcPr>
            <w:tcW w:w="52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72"/>
        </w:trPr>
        <w:tc>
          <w:tcPr>
            <w:tcW w:w="55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100" w:type="dxa"/>
            <w:vAlign w:val="bottom"/>
          </w:tcPr>
          <w:p>
            <w:pPr>
              <w:spacing w:after="0"/>
              <w:rPr>
                <w:sz w:val="14"/>
                <w:szCs w:val="14"/>
                <w:color w:val="auto"/>
              </w:rPr>
            </w:pP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39.8</w:t>
            </w:r>
          </w:p>
        </w:tc>
      </w:tr>
      <w:tr>
        <w:trPr>
          <w:trHeight w:val="180"/>
        </w:trPr>
        <w:tc>
          <w:tcPr>
            <w:tcW w:w="55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55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72"/>
        </w:trPr>
        <w:tc>
          <w:tcPr>
            <w:tcW w:w="5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29.9</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32.3</w:t>
            </w:r>
          </w:p>
        </w:tc>
      </w:tr>
      <w:tr>
        <w:trPr>
          <w:trHeight w:val="180"/>
        </w:trPr>
        <w:tc>
          <w:tcPr>
            <w:tcW w:w="55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10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55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premiums collected</w:t>
            </w: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72"/>
        </w:trPr>
        <w:tc>
          <w:tcPr>
            <w:tcW w:w="55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100" w:type="dxa"/>
            <w:vAlign w:val="bottom"/>
          </w:tcPr>
          <w:p>
            <w:pPr>
              <w:spacing w:after="0"/>
              <w:rPr>
                <w:sz w:val="14"/>
                <w:szCs w:val="14"/>
                <w:color w:val="auto"/>
              </w:rPr>
            </w:pP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29.5</w:t>
            </w: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72"/>
        </w:trPr>
        <w:tc>
          <w:tcPr>
            <w:tcW w:w="55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1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30.6</w:t>
            </w:r>
          </w:p>
        </w:tc>
        <w:tc>
          <w:tcPr>
            <w:tcW w:w="220" w:type="dxa"/>
            <w:vAlign w:val="bottom"/>
          </w:tcPr>
          <w:p>
            <w:pPr>
              <w:spacing w:after="0"/>
              <w:rPr>
                <w:sz w:val="14"/>
                <w:szCs w:val="14"/>
                <w:color w:val="auto"/>
              </w:rPr>
            </w:pPr>
          </w:p>
        </w:tc>
        <w:tc>
          <w:tcPr>
            <w:tcW w:w="300" w:type="dxa"/>
            <w:vAlign w:val="bottom"/>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30.8</w:t>
            </w:r>
          </w:p>
        </w:tc>
      </w:tr>
      <w:tr>
        <w:trPr>
          <w:trHeight w:val="180"/>
        </w:trPr>
        <w:tc>
          <w:tcPr>
            <w:tcW w:w="23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55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Present value of expected future policy benefit payments</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195.6</w:t>
            </w:r>
          </w:p>
        </w:tc>
        <w:tc>
          <w:tcPr>
            <w:tcW w:w="52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209.5</w:t>
            </w:r>
          </w:p>
        </w:tc>
      </w:tr>
      <w:tr>
        <w:trPr>
          <w:trHeight w:val="180"/>
        </w:trPr>
        <w:tc>
          <w:tcPr>
            <w:tcW w:w="55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beginning of period</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r>
      <w:tr>
        <w:trPr>
          <w:trHeight w:val="172"/>
        </w:trPr>
        <w:tc>
          <w:tcPr>
            <w:tcW w:w="5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period at original discount rate</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186.8</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189.5</w:t>
            </w:r>
          </w:p>
        </w:tc>
      </w:tr>
      <w:tr>
        <w:trPr>
          <w:trHeight w:val="180"/>
        </w:trPr>
        <w:tc>
          <w:tcPr>
            <w:tcW w:w="55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changes in cash flow assumptions</w:t>
            </w:r>
          </w:p>
        </w:tc>
        <w:tc>
          <w:tcPr>
            <w:tcW w:w="10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55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72"/>
        </w:trPr>
        <w:tc>
          <w:tcPr>
            <w:tcW w:w="55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Adjusted beginning of period balance at original discount rate</w:t>
            </w:r>
          </w:p>
        </w:tc>
        <w:tc>
          <w:tcPr>
            <w:tcW w:w="100" w:type="dxa"/>
            <w:vAlign w:val="bottom"/>
          </w:tcPr>
          <w:p>
            <w:pPr>
              <w:spacing w:after="0"/>
              <w:rPr>
                <w:sz w:val="14"/>
                <w:szCs w:val="14"/>
                <w:color w:val="auto"/>
              </w:rPr>
            </w:pP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187.9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190.8</w:t>
            </w:r>
          </w:p>
        </w:tc>
      </w:tr>
      <w:tr>
        <w:trPr>
          <w:trHeight w:val="180"/>
        </w:trPr>
        <w:tc>
          <w:tcPr>
            <w:tcW w:w="55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55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r>
      <w:tr>
        <w:trPr>
          <w:trHeight w:val="172"/>
        </w:trPr>
        <w:tc>
          <w:tcPr>
            <w:tcW w:w="5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 at original discount rate</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186.8</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186.8</w:t>
            </w:r>
          </w:p>
        </w:tc>
      </w:tr>
      <w:tr>
        <w:trPr>
          <w:trHeight w:val="180"/>
        </w:trPr>
        <w:tc>
          <w:tcPr>
            <w:tcW w:w="55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discount rate assumptions at end of period</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10.8</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r>
      <w:tr>
        <w:trPr>
          <w:trHeight w:val="172"/>
        </w:trPr>
        <w:tc>
          <w:tcPr>
            <w:tcW w:w="5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197.6</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195.6</w:t>
            </w:r>
          </w:p>
        </w:tc>
      </w:tr>
      <w:tr>
        <w:trPr>
          <w:trHeight w:val="180"/>
        </w:trPr>
        <w:tc>
          <w:tcPr>
            <w:tcW w:w="2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Future policy benefits (1)</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167.0</w:t>
            </w:r>
          </w:p>
        </w:tc>
        <w:tc>
          <w:tcPr>
            <w:tcW w:w="52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164.8</w:t>
            </w:r>
          </w:p>
        </w:tc>
      </w:tr>
      <w:tr>
        <w:trPr>
          <w:trHeight w:val="180"/>
        </w:trPr>
        <w:tc>
          <w:tcPr>
            <w:tcW w:w="55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Reinsurance impact</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(167.0)</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(164.8)</w:t>
            </w:r>
          </w:p>
        </w:tc>
      </w:tr>
      <w:tr>
        <w:trPr>
          <w:trHeight w:val="172"/>
        </w:trPr>
        <w:tc>
          <w:tcPr>
            <w:tcW w:w="55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Future policy benefits after reinsurance</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2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5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duration for future policy benefits (years) (2)</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r>
      <w:tr>
        <w:trPr>
          <w:trHeight w:val="96"/>
        </w:trPr>
        <w:tc>
          <w:tcPr>
            <w:tcW w:w="232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r>
    </w:tbl>
    <w:p>
      <w:pPr>
        <w:spacing w:after="0" w:line="59" w:lineRule="exact"/>
        <w:rPr>
          <w:sz w:val="20"/>
          <w:szCs w:val="20"/>
          <w:color w:val="auto"/>
        </w:rPr>
      </w:pPr>
    </w:p>
    <w:p>
      <w:pPr>
        <w:ind w:left="282" w:hanging="282"/>
        <w:spacing w:after="0"/>
        <w:tabs>
          <w:tab w:leader="none" w:pos="28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present value of expected future policy benefit payments less the present value of expected net premiums.</w:t>
      </w:r>
    </w:p>
    <w:p>
      <w:pPr>
        <w:spacing w:after="0" w:line="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cohort-level duration of the benefits less the net premium cash flows weighted by the reserve balance for each cohort.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Expected Future Gross Premiums and Benefit Payments</w:t>
      </w:r>
    </w:p>
    <w:p>
      <w:pPr>
        <w:spacing w:after="0" w:line="192" w:lineRule="exact"/>
        <w:rPr>
          <w:sz w:val="20"/>
          <w:szCs w:val="20"/>
          <w:color w:val="auto"/>
        </w:rPr>
      </w:pPr>
    </w:p>
    <w:p>
      <w:pPr>
        <w:ind w:right="280" w:firstLine="576"/>
        <w:spacing w:after="0" w:line="259" w:lineRule="auto"/>
        <w:rPr>
          <w:sz w:val="20"/>
          <w:szCs w:val="20"/>
          <w:color w:val="auto"/>
        </w:rPr>
      </w:pPr>
      <w:r>
        <w:rPr>
          <w:rFonts w:ascii="Times New Roman" w:cs="Times New Roman" w:eastAsia="Times New Roman" w:hAnsi="Times New Roman"/>
          <w:sz w:val="16"/>
          <w:szCs w:val="16"/>
          <w:color w:val="auto"/>
        </w:rPr>
        <w:t>The amounts of expected undiscounted future benefit payments, expected undiscounted future gross premiums and expected discounted future gross premiums, utilizing the current upper-medium fixed-income instrument yield,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Borders>
              <w:bottom w:val="single" w:sz="8" w:color="auto"/>
            </w:tcBorders>
          </w:tcPr>
          <w:p>
            <w:pPr>
              <w:spacing w:after="0"/>
              <w:rPr>
                <w:sz w:val="14"/>
                <w:szCs w:val="14"/>
                <w:color w:val="auto"/>
              </w:rPr>
            </w:pPr>
          </w:p>
        </w:tc>
      </w:tr>
      <w:tr>
        <w:trPr>
          <w:trHeight w:val="136"/>
        </w:trPr>
        <w:tc>
          <w:tcPr>
            <w:tcW w:w="40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4"/>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Retirement and Income Solutions:</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Pension risk transfer</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40,544.5</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39,532.3</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Individual fixed income annuities</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6,518.7</w:t>
            </w:r>
          </w:p>
        </w:tc>
        <w:tc>
          <w:tcPr>
            <w:tcW w:w="58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6,622.6</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 xml:space="preserve">Principal Asset Management </w:t>
            </w:r>
            <w:r>
              <w:rPr>
                <w:rFonts w:ascii="Arial" w:cs="Arial" w:eastAsia="Arial" w:hAnsi="Arial"/>
                <w:sz w:val="16"/>
                <w:szCs w:val="16"/>
                <w:b w:val="1"/>
                <w:bCs w:val="1"/>
                <w:color w:val="auto"/>
              </w:rPr>
              <w:t>–</w:t>
            </w:r>
            <w:r>
              <w:rPr>
                <w:rFonts w:ascii="Times New Roman" w:cs="Times New Roman" w:eastAsia="Times New Roman" w:hAnsi="Times New Roman"/>
                <w:sz w:val="16"/>
                <w:szCs w:val="16"/>
                <w:b w:val="1"/>
                <w:bCs w:val="1"/>
                <w:color w:val="auto"/>
              </w:rPr>
              <w:t xml:space="preserve"> International Pension:</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Latin America:</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Individual fixed income annuities</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5,749.7</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5,509.1</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Benefits and Protection – Specialty Benefits:</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Individual disability</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discounted future gross premiums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5,558.0</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5,484.0</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gross premiums</w:t>
            </w:r>
          </w:p>
        </w:tc>
        <w:tc>
          <w:tcPr>
            <w:tcW w:w="2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8,681.7</w:t>
            </w:r>
          </w:p>
        </w:tc>
        <w:tc>
          <w:tcPr>
            <w:tcW w:w="58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8,680.0</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9,861.6</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9,808.8</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Benefits and Protection – Life Insurance:</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Term life</w:t>
            </w: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discounted future gross premiums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6,759.2</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6,651.2</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gross premiums</w:t>
            </w:r>
          </w:p>
        </w:tc>
        <w:tc>
          <w:tcPr>
            <w:tcW w:w="2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11,450.0</w:t>
            </w:r>
          </w:p>
        </w:tc>
        <w:tc>
          <w:tcPr>
            <w:tcW w:w="58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11,391.4</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9,009.0</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8,970.7</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4"/>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Long-term care insurance</w:t>
            </w:r>
          </w:p>
        </w:tc>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discounted future gross premiums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38.1</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38.4</w:t>
            </w:r>
          </w:p>
        </w:tc>
        <w:tc>
          <w:tcPr>
            <w:tcW w:w="20" w:type="dxa"/>
            <w:vAlign w:val="bottom"/>
            <w:shd w:val="clear" w:color="auto" w:fill="CCEEFF"/>
          </w:tcPr>
          <w:p>
            <w:pPr>
              <w:spacing w:after="0"/>
              <w:rPr>
                <w:sz w:val="15"/>
                <w:szCs w:val="15"/>
                <w:color w:val="auto"/>
              </w:rPr>
            </w:pPr>
          </w:p>
        </w:tc>
      </w:tr>
      <w:tr>
        <w:trPr>
          <w:trHeight w:val="180"/>
        </w:trPr>
        <w:tc>
          <w:tcPr>
            <w:tcW w:w="40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gross premiums</w:t>
            </w:r>
          </w:p>
        </w:tc>
        <w:tc>
          <w:tcPr>
            <w:tcW w:w="2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54.6</w:t>
            </w:r>
          </w:p>
        </w:tc>
        <w:tc>
          <w:tcPr>
            <w:tcW w:w="58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55.7</w:t>
            </w:r>
          </w:p>
        </w:tc>
        <w:tc>
          <w:tcPr>
            <w:tcW w:w="20" w:type="dxa"/>
            <w:vAlign w:val="bottom"/>
          </w:tcPr>
          <w:p>
            <w:pPr>
              <w:spacing w:after="0"/>
              <w:rPr>
                <w:sz w:val="15"/>
                <w:szCs w:val="15"/>
                <w:color w:val="auto"/>
              </w:rPr>
            </w:pPr>
          </w:p>
        </w:tc>
      </w:tr>
      <w:tr>
        <w:trPr>
          <w:trHeight w:val="180"/>
        </w:trPr>
        <w:tc>
          <w:tcPr>
            <w:tcW w:w="40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Expected undiscounted future benefit payments</w:t>
            </w:r>
          </w:p>
        </w:tc>
        <w:tc>
          <w:tcPr>
            <w:tcW w:w="29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355.0</w:t>
            </w:r>
          </w:p>
        </w:tc>
        <w:tc>
          <w:tcPr>
            <w:tcW w:w="580" w:type="dxa"/>
            <w:vAlign w:val="bottom"/>
            <w:gridSpan w:val="2"/>
            <w:shd w:val="clear" w:color="auto" w:fill="CCEEFF"/>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357.3</w:t>
            </w:r>
          </w:p>
        </w:tc>
        <w:tc>
          <w:tcPr>
            <w:tcW w:w="20" w:type="dxa"/>
            <w:vAlign w:val="bottom"/>
            <w:shd w:val="clear" w:color="auto" w:fill="CCEEFF"/>
          </w:tcPr>
          <w:p>
            <w:pPr>
              <w:spacing w:after="0"/>
              <w:rPr>
                <w:sz w:val="15"/>
                <w:szCs w:val="15"/>
                <w:color w:val="auto"/>
              </w:rPr>
            </w:pPr>
          </w:p>
        </w:tc>
      </w:tr>
      <w:tr>
        <w:trPr>
          <w:trHeight w:val="754"/>
        </w:trPr>
        <w:tc>
          <w:tcPr>
            <w:tcW w:w="4080" w:type="dxa"/>
            <w:vAlign w:val="bottom"/>
          </w:tcPr>
          <w:p>
            <w:pPr>
              <w:spacing w:after="0"/>
              <w:rPr>
                <w:sz w:val="24"/>
                <w:szCs w:val="24"/>
                <w:color w:val="auto"/>
              </w:rPr>
            </w:pPr>
          </w:p>
        </w:tc>
        <w:tc>
          <w:tcPr>
            <w:tcW w:w="2840" w:type="dxa"/>
            <w:vAlign w:val="bottom"/>
          </w:tcPr>
          <w:p>
            <w:pPr>
              <w:jc w:val="right"/>
              <w:ind w:right="2102"/>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40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0"/>
          </w:cols>
          <w:pgMar w:left="1280" w:top="557" w:right="1280" w:bottom="1440" w:gutter="0" w:footer="0" w:header="0"/>
        </w:sectPr>
      </w:pPr>
    </w:p>
    <w:bookmarkStart w:id="64" w:name="page65"/>
    <w:bookmarkEnd w:id="64"/>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Interest Accretion and Current Discount Rates</w:t>
      </w:r>
    </w:p>
    <w:p>
      <w:pPr>
        <w:spacing w:after="0" w:line="192" w:lineRule="exact"/>
        <w:rPr>
          <w:sz w:val="20"/>
          <w:szCs w:val="20"/>
          <w:color w:val="auto"/>
        </w:rPr>
      </w:pPr>
    </w:p>
    <w:p>
      <w:pPr>
        <w:ind w:left="2" w:right="260" w:firstLine="576"/>
        <w:spacing w:after="0" w:line="243" w:lineRule="auto"/>
        <w:rPr>
          <w:sz w:val="20"/>
          <w:szCs w:val="20"/>
          <w:color w:val="auto"/>
        </w:rPr>
      </w:pPr>
      <w:r>
        <w:rPr>
          <w:rFonts w:ascii="Times New Roman" w:cs="Times New Roman" w:eastAsia="Times New Roman" w:hAnsi="Times New Roman"/>
          <w:sz w:val="16"/>
          <w:szCs w:val="16"/>
          <w:color w:val="auto"/>
        </w:rPr>
        <w:t>The interest accretion rate shown for each level of aggregation is an average of the cohort-level accretion rates weighted by the reserve balance for each cohort within that level of aggregation. The current discount rate is calculated at a cohort-level based on current upper-medium fixed -income instrument yields and weighted by the reserve balance for each cohort within each level of aggregation. The weighted-average rates were as follows: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Interest accretion rate</w:t>
            </w:r>
          </w:p>
        </w:tc>
        <w:tc>
          <w:tcPr>
            <w:tcW w:w="244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Current discount rate</w:t>
            </w:r>
          </w:p>
        </w:tc>
      </w:tr>
      <w:tr>
        <w:trPr>
          <w:trHeight w:val="148"/>
        </w:trPr>
        <w:tc>
          <w:tcPr>
            <w:tcW w:w="44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280"/>
              <w:spacing w:after="0" w:line="148" w:lineRule="exact"/>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1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280"/>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1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2"/>
                <w:szCs w:val="12"/>
                <w:color w:val="auto"/>
              </w:rPr>
            </w:pPr>
          </w:p>
        </w:tc>
      </w:tr>
      <w:tr>
        <w:trPr>
          <w:trHeight w:val="172"/>
        </w:trPr>
        <w:tc>
          <w:tcPr>
            <w:tcW w:w="440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180"/>
        </w:trPr>
        <w:tc>
          <w:tcPr>
            <w:tcW w:w="4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Pension risk transfer</w:t>
            </w: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4.64 %</w:t>
            </w:r>
          </w:p>
        </w:tc>
        <w:tc>
          <w:tcPr>
            <w:tcW w:w="13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4.61 %</w:t>
            </w: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5.41 %</w:t>
            </w:r>
          </w:p>
        </w:tc>
        <w:tc>
          <w:tcPr>
            <w:tcW w:w="1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5.55 %</w:t>
            </w:r>
          </w:p>
        </w:tc>
      </w:tr>
      <w:tr>
        <w:trPr>
          <w:trHeight w:val="180"/>
        </w:trPr>
        <w:tc>
          <w:tcPr>
            <w:tcW w:w="44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w:t>
            </w: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4.22 %</w:t>
            </w:r>
          </w:p>
        </w:tc>
        <w:tc>
          <w:tcPr>
            <w:tcW w:w="13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4.22 %</w:t>
            </w:r>
          </w:p>
        </w:tc>
        <w:tc>
          <w:tcPr>
            <w:tcW w:w="11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5.34 %</w:t>
            </w:r>
          </w:p>
        </w:tc>
        <w:tc>
          <w:tcPr>
            <w:tcW w:w="1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5.50 %</w:t>
            </w:r>
          </w:p>
        </w:tc>
      </w:tr>
      <w:tr>
        <w:trPr>
          <w:trHeight w:val="180"/>
        </w:trPr>
        <w:tc>
          <w:tcPr>
            <w:tcW w:w="4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Principal Asset Management – International Pension (1):</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4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Latin America:</w:t>
            </w: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440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Individual fixed income annuities</w:t>
            </w: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4.20 %</w:t>
            </w:r>
          </w:p>
        </w:tc>
        <w:tc>
          <w:tcPr>
            <w:tcW w:w="13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4.21 %</w:t>
            </w: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3.05 %</w:t>
            </w:r>
          </w:p>
        </w:tc>
        <w:tc>
          <w:tcPr>
            <w:tcW w:w="1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3.04 %</w:t>
            </w:r>
          </w:p>
        </w:tc>
      </w:tr>
      <w:tr>
        <w:trPr>
          <w:trHeight w:val="180"/>
        </w:trPr>
        <w:tc>
          <w:tcPr>
            <w:tcW w:w="4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0"/>
        </w:trPr>
        <w:tc>
          <w:tcPr>
            <w:tcW w:w="4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4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Individual disability</w:t>
            </w: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3.88 %</w:t>
            </w:r>
          </w:p>
        </w:tc>
        <w:tc>
          <w:tcPr>
            <w:tcW w:w="13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3.89 %</w:t>
            </w:r>
          </w:p>
        </w:tc>
        <w:tc>
          <w:tcPr>
            <w:tcW w:w="11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5.52 %</w:t>
            </w:r>
          </w:p>
        </w:tc>
        <w:tc>
          <w:tcPr>
            <w:tcW w:w="1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5.64 %</w:t>
            </w:r>
          </w:p>
        </w:tc>
      </w:tr>
      <w:tr>
        <w:trPr>
          <w:trHeight w:val="180"/>
        </w:trPr>
        <w:tc>
          <w:tcPr>
            <w:tcW w:w="4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4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Universal life</w:t>
            </w: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4.75 %</w:t>
            </w:r>
          </w:p>
        </w:tc>
        <w:tc>
          <w:tcPr>
            <w:tcW w:w="13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4.75 %</w:t>
            </w:r>
          </w:p>
        </w:tc>
        <w:tc>
          <w:tcPr>
            <w:tcW w:w="118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See note (2)</w:t>
            </w:r>
          </w:p>
        </w:tc>
        <w:tc>
          <w:tcPr>
            <w:tcW w:w="12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See note (2)</w:t>
            </w:r>
          </w:p>
        </w:tc>
      </w:tr>
      <w:tr>
        <w:trPr>
          <w:trHeight w:val="180"/>
        </w:trPr>
        <w:tc>
          <w:tcPr>
            <w:tcW w:w="44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Term life</w:t>
            </w: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4.82 %</w:t>
            </w:r>
          </w:p>
        </w:tc>
        <w:tc>
          <w:tcPr>
            <w:tcW w:w="13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4.82 %</w:t>
            </w: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5.09 %</w:t>
            </w:r>
          </w:p>
        </w:tc>
        <w:tc>
          <w:tcPr>
            <w:tcW w:w="1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5.35 %</w:t>
            </w:r>
          </w:p>
        </w:tc>
      </w:tr>
      <w:tr>
        <w:trPr>
          <w:trHeight w:val="180"/>
        </w:trPr>
        <w:tc>
          <w:tcPr>
            <w:tcW w:w="4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5"/>
        </w:trPr>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care insurance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6.16 %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6.16 %</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5.44 %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ind w:left="282" w:hanging="282"/>
        <w:spacing w:after="0"/>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accretion rate and current discount rate are Chilean real rates, excluding inflation, in the local currency.</w:t>
      </w:r>
    </w:p>
    <w:p>
      <w:pPr>
        <w:spacing w:after="0" w:line="14" w:lineRule="exact"/>
        <w:rPr>
          <w:rFonts w:ascii="Times New Roman" w:cs="Times New Roman" w:eastAsia="Times New Roman" w:hAnsi="Times New Roman"/>
          <w:sz w:val="16"/>
          <w:szCs w:val="16"/>
          <w:color w:val="auto"/>
        </w:rPr>
      </w:pPr>
    </w:p>
    <w:p>
      <w:pPr>
        <w:ind w:left="282" w:right="180" w:hanging="282"/>
        <w:spacing w:after="0" w:line="238" w:lineRule="auto"/>
        <w:tabs>
          <w:tab w:leader="none" w:pos="28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additional liability for certain benefit features for Life Insurance – Universal life is measured using the discount rate at contract inception. Therefore, the current discount rate is not applicable for this product.</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10. Market Risk Benefits</w:t>
      </w:r>
    </w:p>
    <w:p>
      <w:pPr>
        <w:spacing w:after="0" w:line="190" w:lineRule="exact"/>
        <w:rPr>
          <w:sz w:val="20"/>
          <w:szCs w:val="20"/>
          <w:color w:val="auto"/>
        </w:rPr>
      </w:pPr>
    </w:p>
    <w:p>
      <w:pPr>
        <w:ind w:left="2" w:right="140" w:firstLine="576"/>
        <w:spacing w:after="0" w:line="289" w:lineRule="auto"/>
        <w:rPr>
          <w:sz w:val="20"/>
          <w:szCs w:val="20"/>
          <w:color w:val="auto"/>
        </w:rPr>
      </w:pPr>
      <w:r>
        <w:rPr>
          <w:rFonts w:ascii="Times New Roman" w:cs="Times New Roman" w:eastAsia="Times New Roman" w:hAnsi="Times New Roman"/>
          <w:sz w:val="14"/>
          <w:szCs w:val="14"/>
          <w:color w:val="auto"/>
        </w:rPr>
        <w:t>Contracts or contract features that provide protection to the policyholder from capital market risk, including equity, interest rate or foreign exchange risk, and expose us to other-than-nominal capital market risk are classified as MRBs. We issue certain annuity contracts and other investment contracts that include MRBs that have been bifurcated from the host contract. The Retirement and Income Solutions segment offers variable annuity products with GMWB riders and GMDB riders, including return-of-premium GMDB and GMWB riders for its RILA products.</w:t>
      </w:r>
    </w:p>
    <w:p>
      <w:pPr>
        <w:spacing w:after="0" w:line="137" w:lineRule="exact"/>
        <w:rPr>
          <w:sz w:val="20"/>
          <w:szCs w:val="20"/>
          <w:color w:val="auto"/>
        </w:rPr>
      </w:pPr>
    </w:p>
    <w:p>
      <w:pPr>
        <w:jc w:val="both"/>
        <w:ind w:left="2" w:right="220" w:firstLine="576"/>
        <w:spacing w:after="0" w:line="247" w:lineRule="auto"/>
        <w:rPr>
          <w:sz w:val="20"/>
          <w:szCs w:val="20"/>
          <w:color w:val="auto"/>
        </w:rPr>
      </w:pPr>
      <w:r>
        <w:rPr>
          <w:rFonts w:ascii="Times New Roman" w:cs="Times New Roman" w:eastAsia="Times New Roman" w:hAnsi="Times New Roman"/>
          <w:sz w:val="16"/>
          <w:szCs w:val="16"/>
          <w:color w:val="auto"/>
        </w:rPr>
        <w:t>MRBs are measured at fair value at the contract level and can be in either an asset or liability position, depending on certain inputs at the reporting date. MRB assets and liabilities are presented separately within the consolidated statements of financial position. Increases to an asset or decreases to a liability are described as favorable changes to fair value.</w:t>
      </w:r>
    </w:p>
    <w:p>
      <w:pPr>
        <w:spacing w:after="0" w:line="164" w:lineRule="exact"/>
        <w:rPr>
          <w:sz w:val="20"/>
          <w:szCs w:val="20"/>
          <w:color w:val="auto"/>
        </w:rPr>
      </w:pPr>
    </w:p>
    <w:p>
      <w:pPr>
        <w:ind w:left="2" w:right="60" w:firstLine="576"/>
        <w:spacing w:after="0" w:line="247" w:lineRule="auto"/>
        <w:rPr>
          <w:sz w:val="20"/>
          <w:szCs w:val="20"/>
          <w:color w:val="auto"/>
        </w:rPr>
      </w:pPr>
      <w:r>
        <w:rPr>
          <w:rFonts w:ascii="Times New Roman" w:cs="Times New Roman" w:eastAsia="Times New Roman" w:hAnsi="Times New Roman"/>
          <w:sz w:val="16"/>
          <w:szCs w:val="16"/>
          <w:color w:val="auto"/>
        </w:rPr>
        <w:t>Changes in fair value are reported in MRB remeasurement (gain) loss on the consolidated statements of operations. However, the change in fair value related to our own nonperformance risk is reported in OCI. For contracts that contain multiple MRB features, the MRBs are valued on a combined basis using an integrated model.</w:t>
      </w:r>
    </w:p>
    <w:p>
      <w:pPr>
        <w:spacing w:after="0" w:line="164" w:lineRule="exact"/>
        <w:rPr>
          <w:sz w:val="20"/>
          <w:szCs w:val="20"/>
          <w:color w:val="auto"/>
        </w:rPr>
      </w:pPr>
    </w:p>
    <w:p>
      <w:pPr>
        <w:ind w:left="2" w:right="80" w:firstLine="576"/>
        <w:spacing w:after="0" w:line="241" w:lineRule="auto"/>
        <w:rPr>
          <w:sz w:val="20"/>
          <w:szCs w:val="20"/>
          <w:color w:val="auto"/>
        </w:rPr>
      </w:pPr>
      <w:r>
        <w:rPr>
          <w:rFonts w:ascii="Times New Roman" w:cs="Times New Roman" w:eastAsia="Times New Roman" w:hAnsi="Times New Roman"/>
          <w:sz w:val="16"/>
          <w:szCs w:val="16"/>
          <w:color w:val="auto"/>
        </w:rPr>
        <w:t>MRBs are classified as Level 3 fair value measurements as the fair value is based on unobservable inputs. The key assumptions for calculating the fair value of the MRBs are market assumptions such as equity market returns, interest rate levels, market volatility and correlations and policyholder behavior assumptions such as lapse, mortality, utilization and withdrawal patterns. Risk margins are included in the policyholder behavior assumptions. The assumptions are based on a combination of historical data and actuarial judgment. The MRBs are valued using stochastic models that incorporate a spread reflecting our own nonperformance risk.</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The assumption for our own nonperformance risk for MRBs is based on the current market credit spreads for debt -like instruments we have issued and are available in the market. Increases (decreases) in our own nonperformance risk, which impacts the rates used to discount future cash flows, could lead to favorable (unfavorable) changes in the fair value of the MRBs.</w:t>
      </w:r>
    </w:p>
    <w:p>
      <w:pPr>
        <w:spacing w:after="0" w:line="164"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Long-term interest rates are used as the mean return when projecting the growth in the value of the associated account value and impact the discount rate used in the discounted future cash flows valuation. The amount of claims will increase if account value is not sufficient to cover guaranteed withdrawals. An increase (decrease) in risk -free rates could cause a favorable (unfavorable) change in the fair value of the MRBs. A decrease (increase) in market volatilities could cause a favorable (unfavorable) change in the fair value of the MRBs.</w:t>
      </w:r>
    </w:p>
    <w:p>
      <w:pPr>
        <w:spacing w:after="0" w:line="167"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An increase (decrease) in mortality rates or the overall lapse rate assumptions could cause a favorable (unfavorable) change in the fair value of the MRBs. The lapse rate assumption may vary dynamically based on the relationship between the guarantee and associated account value. A weaker (stronger) dynamic lapse rate assumption could lead to favorable (unfavorable) changes in the fair value of the MRBs.</w:t>
      </w:r>
    </w:p>
    <w:p>
      <w:pPr>
        <w:spacing w:after="0" w:line="164" w:lineRule="exact"/>
        <w:rPr>
          <w:sz w:val="20"/>
          <w:szCs w:val="20"/>
          <w:color w:val="auto"/>
        </w:rPr>
      </w:pPr>
    </w:p>
    <w:p>
      <w:pPr>
        <w:jc w:val="both"/>
        <w:ind w:right="100" w:firstLine="576"/>
        <w:spacing w:after="0" w:line="299" w:lineRule="auto"/>
        <w:rPr>
          <w:sz w:val="20"/>
          <w:szCs w:val="20"/>
          <w:color w:val="auto"/>
        </w:rPr>
      </w:pPr>
      <w:r>
        <w:rPr>
          <w:rFonts w:ascii="Times New Roman" w:cs="Times New Roman" w:eastAsia="Times New Roman" w:hAnsi="Times New Roman"/>
          <w:sz w:val="14"/>
          <w:szCs w:val="14"/>
          <w:color w:val="auto"/>
        </w:rPr>
        <w:t>The utilization rate assumption includes how many contractholders will take withdrawals, when they will take them and how much of their benefit they will take. A decrease (increase) in the number of contractholders taking withdrawals, contractholders taking withdrawals earlier versus later, or contractholders taking more versus less of their benefit could lead to favorable (unfavorable) changes in the fair value of the MRBs.</w:t>
      </w:r>
    </w:p>
    <w:p>
      <w:pPr>
        <w:spacing w:after="0" w:line="131"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disaggregated MRB amounts in an asset and liability position reported in the consolidated statements of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4"/>
        </w:trPr>
        <w:tc>
          <w:tcPr>
            <w:tcW w:w="4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6"/>
              </w:rPr>
              <w:t>Net asset</w:t>
            </w:r>
          </w:p>
        </w:tc>
        <w:tc>
          <w:tcPr>
            <w:tcW w:w="20" w:type="dxa"/>
            <w:vAlign w:val="bottom"/>
          </w:tcPr>
          <w:p>
            <w:pPr>
              <w:spacing w:after="0"/>
              <w:rPr>
                <w:sz w:val="11"/>
                <w:szCs w:val="11"/>
                <w:color w:val="auto"/>
              </w:rPr>
            </w:pPr>
          </w:p>
        </w:tc>
      </w:tr>
      <w:tr>
        <w:trPr>
          <w:trHeight w:val="170"/>
        </w:trPr>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6"/>
              </w:rPr>
              <w:t>Liability</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1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20" w:type="dxa"/>
            <w:vAlign w:val="bottom"/>
            <w:tcBorders>
              <w:bottom w:val="single" w:sz="8" w:color="auto"/>
            </w:tcBorders>
          </w:tcPr>
          <w:p>
            <w:pPr>
              <w:spacing w:after="0"/>
              <w:rPr>
                <w:sz w:val="14"/>
                <w:szCs w:val="14"/>
                <w:color w:val="auto"/>
              </w:rPr>
            </w:pPr>
          </w:p>
        </w:tc>
      </w:tr>
      <w:tr>
        <w:trPr>
          <w:trHeight w:val="136"/>
        </w:trPr>
        <w:tc>
          <w:tcPr>
            <w:tcW w:w="4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left="168"/>
              <w:spacing w:after="0" w:line="136" w:lineRule="exact"/>
              <w:rPr>
                <w:sz w:val="20"/>
                <w:szCs w:val="20"/>
                <w:color w:val="auto"/>
              </w:rPr>
            </w:pPr>
            <w:r>
              <w:rPr>
                <w:rFonts w:ascii="Times New Roman" w:cs="Times New Roman" w:eastAsia="Times New Roman" w:hAnsi="Times New Roman"/>
                <w:sz w:val="13"/>
                <w:szCs w:val="13"/>
                <w:i w:val="1"/>
                <w:iCs w:val="1"/>
                <w:color w:val="auto"/>
                <w:w w:val="96"/>
              </w:rPr>
              <w:t>(in</w:t>
            </w:r>
          </w:p>
        </w:tc>
        <w:tc>
          <w:tcPr>
            <w:tcW w:w="800" w:type="dxa"/>
            <w:vAlign w:val="bottom"/>
            <w:gridSpan w:val="3"/>
          </w:tcPr>
          <w:p>
            <w:pPr>
              <w:jc w:val="right"/>
              <w:ind w:right="308"/>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41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variable annuities</w:t>
            </w: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158.7</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w:t>
            </w:r>
            <w:r>
              <w:rPr>
                <w:rFonts w:ascii="Times New Roman" w:cs="Times New Roman" w:eastAsia="Times New Roman" w:hAnsi="Times New Roman"/>
                <w:sz w:val="16"/>
                <w:szCs w:val="16"/>
                <w:b w:val="1"/>
                <w:bCs w:val="1"/>
                <w:u w:val="single" w:color="auto"/>
                <w:color w:val="auto"/>
              </w:rPr>
              <w:t>4</w:t>
            </w:r>
          </w:p>
        </w:tc>
        <w:tc>
          <w:tcPr>
            <w:tcW w:w="12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center"/>
              <w:ind w:left="148"/>
              <w:spacing w:after="0" w:line="180" w:lineRule="exact"/>
              <w:rPr>
                <w:sz w:val="20"/>
                <w:szCs w:val="20"/>
                <w:color w:val="auto"/>
              </w:rPr>
            </w:pPr>
            <w:r>
              <w:rPr>
                <w:rFonts w:ascii="Times New Roman" w:cs="Times New Roman" w:eastAsia="Times New Roman" w:hAnsi="Times New Roman"/>
                <w:sz w:val="16"/>
                <w:szCs w:val="16"/>
                <w:b w:val="1"/>
                <w:bCs w:val="1"/>
                <w:color w:val="auto"/>
                <w:w w:val="99"/>
              </w:rPr>
              <w:t>78.</w:t>
            </w:r>
            <w:r>
              <w:rPr>
                <w:rFonts w:ascii="Times New Roman" w:cs="Times New Roman" w:eastAsia="Times New Roman" w:hAnsi="Times New Roman"/>
                <w:sz w:val="16"/>
                <w:szCs w:val="16"/>
                <w:b w:val="1"/>
                <w:bCs w:val="1"/>
                <w:u w:val="single" w:color="auto"/>
                <w:color w:val="auto"/>
                <w:w w:val="99"/>
              </w:rPr>
              <w:t>3</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199.5</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r>
              <w:rPr>
                <w:rFonts w:ascii="Times New Roman" w:cs="Times New Roman" w:eastAsia="Times New Roman" w:hAnsi="Times New Roman"/>
                <w:sz w:val="16"/>
                <w:szCs w:val="16"/>
                <w:u w:val="single" w:color="auto"/>
                <w:color w:val="auto"/>
              </w:rPr>
              <w:t>1</w:t>
            </w: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137.4</w:t>
            </w:r>
          </w:p>
        </w:tc>
        <w:tc>
          <w:tcPr>
            <w:tcW w:w="20" w:type="dxa"/>
            <w:vAlign w:val="bottom"/>
          </w:tcPr>
          <w:p>
            <w:pPr>
              <w:spacing w:after="0"/>
              <w:rPr>
                <w:sz w:val="15"/>
                <w:szCs w:val="15"/>
                <w:color w:val="auto"/>
              </w:rPr>
            </w:pPr>
          </w:p>
        </w:tc>
      </w:tr>
      <w:tr>
        <w:trPr>
          <w:trHeight w:val="172"/>
        </w:trPr>
        <w:tc>
          <w:tcPr>
            <w:tcW w:w="418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MRB per consolidated statements of financial position</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158.7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80.</w:t>
            </w:r>
            <w:r>
              <w:rPr>
                <w:rFonts w:ascii="Times New Roman" w:cs="Times New Roman" w:eastAsia="Times New Roman" w:hAnsi="Times New Roman"/>
                <w:sz w:val="16"/>
                <w:szCs w:val="16"/>
                <w:b w:val="1"/>
                <w:bCs w:val="1"/>
                <w:u w:val="single" w:color="auto"/>
                <w:color w:val="auto"/>
              </w:rPr>
              <w:t>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center"/>
              <w:ind w:left="148"/>
              <w:spacing w:after="0" w:line="172" w:lineRule="exact"/>
              <w:rPr>
                <w:sz w:val="20"/>
                <w:szCs w:val="20"/>
                <w:color w:val="auto"/>
              </w:rPr>
            </w:pPr>
            <w:r>
              <w:rPr>
                <w:rFonts w:ascii="Times New Roman" w:cs="Times New Roman" w:eastAsia="Times New Roman" w:hAnsi="Times New Roman"/>
                <w:sz w:val="16"/>
                <w:szCs w:val="16"/>
                <w:b w:val="1"/>
                <w:bCs w:val="1"/>
                <w:color w:val="auto"/>
                <w:w w:val="99"/>
              </w:rPr>
              <w:t>78.</w:t>
            </w:r>
            <w:r>
              <w:rPr>
                <w:rFonts w:ascii="Times New Roman" w:cs="Times New Roman" w:eastAsia="Times New Roman" w:hAnsi="Times New Roman"/>
                <w:sz w:val="16"/>
                <w:szCs w:val="16"/>
                <w:b w:val="1"/>
                <w:bCs w:val="1"/>
                <w:u w:val="single" w:color="auto"/>
                <w:color w:val="auto"/>
                <w:w w:val="99"/>
              </w:rPr>
              <w:t>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199.5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w:t>
            </w:r>
            <w:r>
              <w:rPr>
                <w:rFonts w:ascii="Times New Roman" w:cs="Times New Roman" w:eastAsia="Times New Roman" w:hAnsi="Times New Roman"/>
                <w:sz w:val="16"/>
                <w:szCs w:val="16"/>
                <w:u w:val="single" w:color="auto"/>
                <w:color w:val="auto"/>
              </w:rPr>
              <w:t>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137.4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20"/>
        </w:trPr>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30"/>
        </w:trPr>
        <w:tc>
          <w:tcPr>
            <w:tcW w:w="4180" w:type="dxa"/>
            <w:vAlign w:val="bottom"/>
          </w:tcPr>
          <w:p>
            <w:pPr>
              <w:spacing w:after="0"/>
              <w:rPr>
                <w:sz w:val="24"/>
                <w:szCs w:val="24"/>
                <w:color w:val="auto"/>
              </w:rPr>
            </w:pP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66</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4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0"/>
          </w:cols>
          <w:pgMar w:left="1280" w:top="557" w:right="1280" w:bottom="1440" w:gutter="0" w:footer="0" w:header="0"/>
        </w:sectPr>
      </w:pPr>
    </w:p>
    <w:bookmarkStart w:id="66" w:name="page67"/>
    <w:bookmarkEnd w:id="66"/>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net asset (liability) balances and the changes in the valuation of the MRBs for Individual variable annuities were as follows: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4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Pr>
          <w:p>
            <w:pPr>
              <w:spacing w:after="0"/>
              <w:rPr>
                <w:sz w:val="13"/>
                <w:szCs w:val="13"/>
                <w:color w:val="auto"/>
              </w:rPr>
            </w:pP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4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right"/>
              <w:ind w:right="64"/>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38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w w:val="77"/>
              </w:rPr>
              <w:t>millions)</w:t>
            </w:r>
          </w:p>
        </w:tc>
        <w:tc>
          <w:tcPr>
            <w:tcW w:w="1340" w:type="dxa"/>
            <w:vAlign w:val="bottom"/>
          </w:tcPr>
          <w:p>
            <w:pPr>
              <w:spacing w:after="0"/>
              <w:rPr>
                <w:sz w:val="11"/>
                <w:szCs w:val="11"/>
                <w:color w:val="auto"/>
              </w:rPr>
            </w:pPr>
          </w:p>
        </w:tc>
      </w:tr>
      <w:tr>
        <w:trPr>
          <w:trHeight w:val="180"/>
        </w:trPr>
        <w:tc>
          <w:tcPr>
            <w:tcW w:w="4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10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137.4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center"/>
              <w:ind w:right="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41.5</w:t>
            </w:r>
          </w:p>
        </w:tc>
      </w:tr>
      <w:tr>
        <w:trPr>
          <w:trHeight w:val="180"/>
        </w:trPr>
        <w:tc>
          <w:tcPr>
            <w:tcW w:w="49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nonperformance risk at beginning of period</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r>
      <w:tr>
        <w:trPr>
          <w:trHeight w:val="172"/>
        </w:trPr>
        <w:tc>
          <w:tcPr>
            <w:tcW w:w="4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balance at beginning of period</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156.4</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49.2</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49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accrual and expected policyholder behavior</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94"/>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(66.8)</w:t>
            </w: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 payments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49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Changes in interest rates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94"/>
              <w:spacing w:after="0" w:line="180" w:lineRule="exact"/>
              <w:rPr>
                <w:sz w:val="20"/>
                <w:szCs w:val="20"/>
                <w:color w:val="auto"/>
              </w:rPr>
            </w:pPr>
            <w:r>
              <w:rPr>
                <w:rFonts w:ascii="Times New Roman" w:cs="Times New Roman" w:eastAsia="Times New Roman" w:hAnsi="Times New Roman"/>
                <w:sz w:val="16"/>
                <w:szCs w:val="16"/>
                <w:b w:val="1"/>
                <w:bCs w:val="1"/>
                <w:color w:val="auto"/>
              </w:rPr>
              <w:t>(21.5)</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w:t>
            </w: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Changes in equity markets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b w:val="1"/>
                <w:bCs w:val="1"/>
                <w:color w:val="auto"/>
              </w:rPr>
              <w:t>(17.8)</w:t>
            </w: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92.4</w:t>
            </w:r>
          </w:p>
        </w:tc>
      </w:tr>
      <w:tr>
        <w:trPr>
          <w:trHeight w:val="180"/>
        </w:trPr>
        <w:tc>
          <w:tcPr>
            <w:tcW w:w="49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Changes in equity index volatility</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(5.9)</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Actual policyholder behavior different from expected behavior</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r>
      <w:tr>
        <w:trPr>
          <w:trHeight w:val="180"/>
        </w:trPr>
        <w:tc>
          <w:tcPr>
            <w:tcW w:w="49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Changes in future expected policyholder behavior</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r>
      <w:tr>
        <w:trPr>
          <w:trHeight w:val="180"/>
        </w:trPr>
        <w:tc>
          <w:tcPr>
            <w:tcW w:w="49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Changes in other future expected assumptions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13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72"/>
        </w:trPr>
        <w:tc>
          <w:tcPr>
            <w:tcW w:w="49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Adjusted balance at end of period</w:t>
            </w:r>
          </w:p>
        </w:tc>
        <w:tc>
          <w:tcPr>
            <w:tcW w:w="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94.6</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156.4</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changes in nonperformance risk at end of period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b w:val="1"/>
                <w:bCs w:val="1"/>
                <w:color w:val="auto"/>
              </w:rPr>
              <w:t>(16.3)</w:t>
            </w: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r>
      <w:tr>
        <w:trPr>
          <w:trHeight w:val="172"/>
        </w:trPr>
        <w:tc>
          <w:tcPr>
            <w:tcW w:w="49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9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78.3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center"/>
              <w:ind w:right="62"/>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137.4</w:t>
            </w: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4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0"/>
        </w:trPr>
        <w:tc>
          <w:tcPr>
            <w:tcW w:w="4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Weighted-average attained age of policyholders (years) (1)</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67.4</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Net amount at risk (2)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132.4</w:t>
            </w:r>
          </w:p>
        </w:tc>
        <w:tc>
          <w:tcPr>
            <w:tcW w:w="160" w:type="dxa"/>
            <w:vAlign w:val="bottom"/>
          </w:tcPr>
          <w:p>
            <w:pPr>
              <w:spacing w:after="0"/>
              <w:rPr>
                <w:sz w:val="17"/>
                <w:szCs w:val="17"/>
                <w:color w:val="auto"/>
              </w:rPr>
            </w:pPr>
          </w:p>
        </w:tc>
        <w:tc>
          <w:tcPr>
            <w:tcW w:w="22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ind w:left="282" w:right="880" w:hanging="282"/>
        <w:spacing w:after="0" w:line="246" w:lineRule="auto"/>
        <w:tabs>
          <w:tab w:leader="none" w:pos="28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attained age is calculated at the contract level using the total contributions since inception and the age of the contractholders.</w:t>
      </w:r>
    </w:p>
    <w:p>
      <w:pPr>
        <w:ind w:left="282" w:hanging="282"/>
        <w:spacing w:after="0" w:line="236" w:lineRule="auto"/>
        <w:tabs>
          <w:tab w:leader="none" w:pos="28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amount at risk for our GMDB riders is defined as the current GMDB amount in excess of the current account balance. The net amount at risk for our GMWB riders is defined as the greater of the present value of the GMWB payments less the current account balance or zero. For contracts with both GMDB and GMWB riders, the net amount at risk is the greater of the GMDB or GMWB net amount at risk. We had an increase in the net amount at risk in 2025 primarily as a result of decreases in the equity markets.</w:t>
      </w:r>
    </w:p>
    <w:p>
      <w:pPr>
        <w:spacing w:after="0" w:line="15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Significant changes to inputs and assumptions that impacted the change in the MRB fair value measurement shown above were as follows:</w:t>
      </w:r>
    </w:p>
    <w:p>
      <w:pPr>
        <w:spacing w:after="0" w:line="204" w:lineRule="exact"/>
        <w:rPr>
          <w:sz w:val="20"/>
          <w:szCs w:val="20"/>
          <w:color w:val="auto"/>
        </w:rPr>
      </w:pPr>
    </w:p>
    <w:tbl>
      <w:tblPr>
        <w:tblLayout w:type="fixed"/>
        <w:tblInd w:w="12" w:type="dxa"/>
        <w:tblCellMar>
          <w:top w:w="0" w:type="dxa"/>
          <w:left w:w="0" w:type="dxa"/>
          <w:bottom w:w="0" w:type="dxa"/>
          <w:right w:w="0" w:type="dxa"/>
        </w:tblCellMar>
      </w:tblPr>
      <w:tr>
        <w:trPr>
          <w:trHeight w:val="154"/>
        </w:trPr>
        <w:tc>
          <w:tcPr>
            <w:tcW w:w="2320" w:type="dxa"/>
            <w:vAlign w:val="bottom"/>
            <w:tcBorders>
              <w:top w:val="single" w:sz="8" w:color="auto"/>
              <w:lef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3220" w:type="dxa"/>
            <w:vAlign w:val="bottom"/>
            <w:tcBorders>
              <w:top w:val="single" w:sz="8" w:color="auto"/>
              <w:right w:val="single" w:sz="8" w:color="auto"/>
            </w:tcBorders>
            <w:gridSpan w:val="2"/>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3040" w:type="dxa"/>
            <w:vAlign w:val="bottom"/>
            <w:tcBorders>
              <w:top w:val="single" w:sz="8" w:color="auto"/>
              <w:right w:val="single" w:sz="8" w:color="auto"/>
            </w:tcBorders>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Borders>
              <w:lef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3220" w:type="dxa"/>
            <w:vAlign w:val="bottom"/>
            <w:tcBorders>
              <w:bottom w:val="single" w:sz="8" w:color="auto"/>
              <w:right w:val="single" w:sz="8" w:color="auto"/>
            </w:tcBorders>
            <w:gridSpan w:val="2"/>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040" w:type="dxa"/>
            <w:vAlign w:val="bottom"/>
            <w:tcBorders>
              <w:bottom w:val="single" w:sz="8" w:color="auto"/>
              <w:right w:val="single" w:sz="8" w:color="auto"/>
            </w:tcBorders>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232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jc w:val="center"/>
              <w:ind w:right="126"/>
              <w:spacing w:after="0" w:line="134" w:lineRule="exact"/>
              <w:rPr>
                <w:sz w:val="20"/>
                <w:szCs w:val="20"/>
                <w:color w:val="auto"/>
              </w:rPr>
            </w:pPr>
            <w:r>
              <w:rPr>
                <w:rFonts w:ascii="Times New Roman" w:cs="Times New Roman" w:eastAsia="Times New Roman" w:hAnsi="Times New Roman"/>
                <w:sz w:val="13"/>
                <w:szCs w:val="13"/>
                <w:b w:val="1"/>
                <w:bCs w:val="1"/>
                <w:color w:val="auto"/>
              </w:rPr>
              <w:t>Change in net</w:t>
            </w:r>
          </w:p>
        </w:tc>
        <w:tc>
          <w:tcPr>
            <w:tcW w:w="16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Change in net</w:t>
            </w:r>
          </w:p>
        </w:tc>
      </w:tr>
      <w:tr>
        <w:trPr>
          <w:trHeight w:val="170"/>
        </w:trPr>
        <w:tc>
          <w:tcPr>
            <w:tcW w:w="2320" w:type="dxa"/>
            <w:vAlign w:val="bottom"/>
            <w:tcBorders>
              <w:left w:val="single" w:sz="8" w:color="auto"/>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Change in input</w:t>
            </w:r>
          </w:p>
        </w:tc>
        <w:tc>
          <w:tcPr>
            <w:tcW w:w="1620" w:type="dxa"/>
            <w:vAlign w:val="bottom"/>
            <w:tcBorders>
              <w:bottom w:val="single" w:sz="8" w:color="auto"/>
              <w:right w:val="single" w:sz="8" w:color="auto"/>
            </w:tcBorders>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MRB asset (liability)</w:t>
            </w:r>
          </w:p>
        </w:tc>
        <w:tc>
          <w:tcPr>
            <w:tcW w:w="1600" w:type="dxa"/>
            <w:vAlign w:val="bottom"/>
            <w:tcBorders>
              <w:bottom w:val="single" w:sz="8" w:color="auto"/>
              <w:right w:val="single" w:sz="8" w:color="auto"/>
            </w:tcBorders>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rPr>
              <w:t>Change in input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MRB asset (liability)</w:t>
            </w:r>
          </w:p>
        </w:tc>
      </w:tr>
      <w:tr>
        <w:trPr>
          <w:trHeight w:val="172"/>
        </w:trPr>
        <w:tc>
          <w:tcPr>
            <w:tcW w:w="3080" w:type="dxa"/>
            <w:vAlign w:val="bottom"/>
            <w:tcBorders>
              <w:left w:val="single" w:sz="8" w:color="auto"/>
              <w:bottom w:val="single" w:sz="8" w:color="auto"/>
              <w:right w:val="single" w:sz="8" w:color="auto"/>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Long-term interest rate</w:t>
            </w:r>
          </w:p>
        </w:tc>
        <w:tc>
          <w:tcPr>
            <w:tcW w:w="1600" w:type="dxa"/>
            <w:vAlign w:val="bottom"/>
            <w:tcBorders>
              <w:bottom w:val="single" w:sz="8" w:color="auto"/>
              <w:right w:val="single" w:sz="8" w:color="auto"/>
            </w:tcBorders>
            <w:shd w:val="clear" w:color="auto" w:fill="CCEEFF"/>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5"/>
              </w:rPr>
              <w:t>Decreased</w:t>
            </w:r>
          </w:p>
        </w:tc>
        <w:tc>
          <w:tcPr>
            <w:tcW w:w="1620" w:type="dxa"/>
            <w:vAlign w:val="bottom"/>
            <w:tcBorders>
              <w:bottom w:val="single" w:sz="8" w:color="auto"/>
              <w:right w:val="single" w:sz="8" w:color="auto"/>
            </w:tcBorders>
            <w:shd w:val="clear" w:color="auto" w:fill="CCEEFF"/>
          </w:tcPr>
          <w:p>
            <w:pPr>
              <w:jc w:val="center"/>
              <w:ind w:right="126"/>
              <w:spacing w:after="0" w:line="172" w:lineRule="exact"/>
              <w:rPr>
                <w:sz w:val="20"/>
                <w:szCs w:val="20"/>
                <w:color w:val="auto"/>
              </w:rPr>
            </w:pPr>
            <w:r>
              <w:rPr>
                <w:rFonts w:ascii="Times New Roman" w:cs="Times New Roman" w:eastAsia="Times New Roman" w:hAnsi="Times New Roman"/>
                <w:sz w:val="16"/>
                <w:szCs w:val="16"/>
                <w:color w:val="auto"/>
                <w:w w:val="97"/>
              </w:rPr>
              <w:t>Unfavorable</w:t>
            </w:r>
          </w:p>
        </w:tc>
        <w:tc>
          <w:tcPr>
            <w:tcW w:w="1600" w:type="dxa"/>
            <w:vAlign w:val="bottom"/>
            <w:tcBorders>
              <w:bottom w:val="single" w:sz="8" w:color="auto"/>
              <w:right w:val="single" w:sz="8" w:color="auto"/>
            </w:tcBorders>
            <w:shd w:val="clear" w:color="auto" w:fill="CCEEFF"/>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7"/>
              </w:rPr>
              <w:t>Increased</w:t>
            </w:r>
          </w:p>
        </w:tc>
        <w:tc>
          <w:tcPr>
            <w:tcW w:w="1440" w:type="dxa"/>
            <w:vAlign w:val="bottom"/>
            <w:tcBorders>
              <w:bottom w:val="single" w:sz="8" w:color="auto"/>
              <w:right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Favorable</w:t>
            </w:r>
          </w:p>
        </w:tc>
      </w:tr>
      <w:tr>
        <w:trPr>
          <w:trHeight w:val="172"/>
        </w:trPr>
        <w:tc>
          <w:tcPr>
            <w:tcW w:w="3080" w:type="dxa"/>
            <w:vAlign w:val="bottom"/>
            <w:tcBorders>
              <w:left w:val="single" w:sz="8" w:color="auto"/>
              <w:bottom w:val="single" w:sz="8" w:color="auto"/>
              <w:right w:val="single" w:sz="8" w:color="auto"/>
            </w:tcBorders>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Equity markets</w:t>
            </w:r>
          </w:p>
        </w:tc>
        <w:tc>
          <w:tcPr>
            <w:tcW w:w="1600" w:type="dxa"/>
            <w:vAlign w:val="bottom"/>
            <w:tcBorders>
              <w:bottom w:val="single" w:sz="8" w:color="auto"/>
              <w:right w:val="single" w:sz="8" w:color="auto"/>
            </w:tcBorders>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5"/>
              </w:rPr>
              <w:t>Decreased</w:t>
            </w:r>
          </w:p>
        </w:tc>
        <w:tc>
          <w:tcPr>
            <w:tcW w:w="1620" w:type="dxa"/>
            <w:vAlign w:val="bottom"/>
            <w:tcBorders>
              <w:bottom w:val="single" w:sz="8" w:color="auto"/>
              <w:right w:val="single" w:sz="8" w:color="auto"/>
            </w:tcBorders>
          </w:tcPr>
          <w:p>
            <w:pPr>
              <w:jc w:val="center"/>
              <w:ind w:right="126"/>
              <w:spacing w:after="0" w:line="172" w:lineRule="exact"/>
              <w:rPr>
                <w:sz w:val="20"/>
                <w:szCs w:val="20"/>
                <w:color w:val="auto"/>
              </w:rPr>
            </w:pPr>
            <w:r>
              <w:rPr>
                <w:rFonts w:ascii="Times New Roman" w:cs="Times New Roman" w:eastAsia="Times New Roman" w:hAnsi="Times New Roman"/>
                <w:sz w:val="16"/>
                <w:szCs w:val="16"/>
                <w:color w:val="auto"/>
                <w:w w:val="97"/>
              </w:rPr>
              <w:t>Unfavorable</w:t>
            </w:r>
          </w:p>
        </w:tc>
        <w:tc>
          <w:tcPr>
            <w:tcW w:w="1600" w:type="dxa"/>
            <w:vAlign w:val="bottom"/>
            <w:tcBorders>
              <w:bottom w:val="single" w:sz="8" w:color="auto"/>
              <w:right w:val="single" w:sz="8" w:color="auto"/>
            </w:tcBorders>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7"/>
              </w:rPr>
              <w:t>Increased</w:t>
            </w:r>
          </w:p>
        </w:tc>
        <w:tc>
          <w:tcPr>
            <w:tcW w:w="14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Favorable</w:t>
            </w:r>
          </w:p>
        </w:tc>
      </w:tr>
      <w:tr>
        <w:trPr>
          <w:trHeight w:val="172"/>
        </w:trPr>
        <w:tc>
          <w:tcPr>
            <w:tcW w:w="3080" w:type="dxa"/>
            <w:vAlign w:val="bottom"/>
            <w:tcBorders>
              <w:left w:val="single" w:sz="8" w:color="auto"/>
              <w:bottom w:val="single" w:sz="8" w:color="auto"/>
              <w:right w:val="single" w:sz="8" w:color="auto"/>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Equity market volatilities</w:t>
            </w:r>
          </w:p>
        </w:tc>
        <w:tc>
          <w:tcPr>
            <w:tcW w:w="1600" w:type="dxa"/>
            <w:vAlign w:val="bottom"/>
            <w:tcBorders>
              <w:bottom w:val="single" w:sz="8" w:color="auto"/>
              <w:right w:val="single" w:sz="8" w:color="auto"/>
            </w:tcBorders>
            <w:shd w:val="clear" w:color="auto" w:fill="CCEEFF"/>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5"/>
              </w:rPr>
              <w:t>Decreased</w:t>
            </w:r>
          </w:p>
        </w:tc>
        <w:tc>
          <w:tcPr>
            <w:tcW w:w="1620" w:type="dxa"/>
            <w:vAlign w:val="bottom"/>
            <w:tcBorders>
              <w:bottom w:val="single" w:sz="8" w:color="auto"/>
              <w:right w:val="single" w:sz="8" w:color="auto"/>
            </w:tcBorders>
            <w:shd w:val="clear" w:color="auto" w:fill="CCEEFF"/>
          </w:tcPr>
          <w:p>
            <w:pPr>
              <w:jc w:val="center"/>
              <w:ind w:right="146"/>
              <w:spacing w:after="0" w:line="172" w:lineRule="exact"/>
              <w:rPr>
                <w:sz w:val="20"/>
                <w:szCs w:val="20"/>
                <w:color w:val="auto"/>
              </w:rPr>
            </w:pPr>
            <w:r>
              <w:rPr>
                <w:rFonts w:ascii="Times New Roman" w:cs="Times New Roman" w:eastAsia="Times New Roman" w:hAnsi="Times New Roman"/>
                <w:sz w:val="16"/>
                <w:szCs w:val="16"/>
                <w:color w:val="auto"/>
                <w:w w:val="97"/>
              </w:rPr>
              <w:t>Unfavorable (1)</w:t>
            </w:r>
          </w:p>
        </w:tc>
        <w:tc>
          <w:tcPr>
            <w:tcW w:w="1600" w:type="dxa"/>
            <w:vAlign w:val="bottom"/>
            <w:tcBorders>
              <w:bottom w:val="single" w:sz="8" w:color="auto"/>
              <w:right w:val="single" w:sz="8" w:color="auto"/>
            </w:tcBorders>
            <w:shd w:val="clear" w:color="auto" w:fill="CCEEFF"/>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5"/>
              </w:rPr>
              <w:t>Decreased</w:t>
            </w:r>
          </w:p>
        </w:tc>
        <w:tc>
          <w:tcPr>
            <w:tcW w:w="1440" w:type="dxa"/>
            <w:vAlign w:val="bottom"/>
            <w:tcBorders>
              <w:bottom w:val="single" w:sz="8" w:color="auto"/>
              <w:right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Favorable</w:t>
            </w:r>
          </w:p>
        </w:tc>
      </w:tr>
      <w:tr>
        <w:trPr>
          <w:trHeight w:val="172"/>
        </w:trPr>
        <w:tc>
          <w:tcPr>
            <w:tcW w:w="3080" w:type="dxa"/>
            <w:vAlign w:val="bottom"/>
            <w:tcBorders>
              <w:left w:val="single" w:sz="8" w:color="auto"/>
              <w:bottom w:val="single" w:sz="8" w:color="auto"/>
              <w:right w:val="single" w:sz="8" w:color="auto"/>
            </w:tcBorders>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Own nonperformance risk</w:t>
            </w:r>
          </w:p>
        </w:tc>
        <w:tc>
          <w:tcPr>
            <w:tcW w:w="1600" w:type="dxa"/>
            <w:vAlign w:val="bottom"/>
            <w:tcBorders>
              <w:bottom w:val="single" w:sz="8" w:color="auto"/>
              <w:right w:val="single" w:sz="8" w:color="auto"/>
            </w:tcBorders>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7"/>
              </w:rPr>
              <w:t>Increased</w:t>
            </w:r>
          </w:p>
        </w:tc>
        <w:tc>
          <w:tcPr>
            <w:tcW w:w="1620" w:type="dxa"/>
            <w:vAlign w:val="bottom"/>
            <w:tcBorders>
              <w:bottom w:val="single" w:sz="8" w:color="auto"/>
              <w:right w:val="single" w:sz="8" w:color="auto"/>
            </w:tcBorders>
          </w:tcPr>
          <w:p>
            <w:pPr>
              <w:jc w:val="center"/>
              <w:ind w:right="126"/>
              <w:spacing w:after="0" w:line="172" w:lineRule="exact"/>
              <w:rPr>
                <w:sz w:val="20"/>
                <w:szCs w:val="20"/>
                <w:color w:val="auto"/>
              </w:rPr>
            </w:pPr>
            <w:r>
              <w:rPr>
                <w:rFonts w:ascii="Times New Roman" w:cs="Times New Roman" w:eastAsia="Times New Roman" w:hAnsi="Times New Roman"/>
                <w:sz w:val="16"/>
                <w:szCs w:val="16"/>
                <w:color w:val="auto"/>
                <w:w w:val="96"/>
              </w:rPr>
              <w:t>Favorable</w:t>
            </w:r>
          </w:p>
        </w:tc>
        <w:tc>
          <w:tcPr>
            <w:tcW w:w="1600" w:type="dxa"/>
            <w:vAlign w:val="bottom"/>
            <w:tcBorders>
              <w:bottom w:val="single" w:sz="8" w:color="auto"/>
              <w:right w:val="single" w:sz="8" w:color="auto"/>
            </w:tcBorders>
          </w:tcPr>
          <w:p>
            <w:pPr>
              <w:jc w:val="center"/>
              <w:ind w:right="127"/>
              <w:spacing w:after="0" w:line="172" w:lineRule="exact"/>
              <w:rPr>
                <w:sz w:val="20"/>
                <w:szCs w:val="20"/>
                <w:color w:val="auto"/>
              </w:rPr>
            </w:pPr>
            <w:r>
              <w:rPr>
                <w:rFonts w:ascii="Times New Roman" w:cs="Times New Roman" w:eastAsia="Times New Roman" w:hAnsi="Times New Roman"/>
                <w:sz w:val="16"/>
                <w:szCs w:val="16"/>
                <w:color w:val="auto"/>
                <w:w w:val="95"/>
              </w:rPr>
              <w:t>Decreased</w:t>
            </w:r>
          </w:p>
        </w:tc>
        <w:tc>
          <w:tcPr>
            <w:tcW w:w="14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Unfavorable</w:t>
            </w:r>
          </w:p>
        </w:tc>
      </w:tr>
      <w:tr>
        <w:trPr>
          <w:trHeight w:val="88"/>
        </w:trPr>
        <w:tc>
          <w:tcPr>
            <w:tcW w:w="23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59" w:lineRule="exact"/>
        <w:rPr>
          <w:sz w:val="20"/>
          <w:szCs w:val="20"/>
          <w:color w:val="auto"/>
        </w:rPr>
      </w:pPr>
    </w:p>
    <w:p>
      <w:pPr>
        <w:ind w:left="282" w:right="80" w:hanging="282"/>
        <w:spacing w:after="0" w:line="243" w:lineRule="auto"/>
        <w:tabs>
          <w:tab w:leader="none" w:pos="28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 average equity market volatility input is calculated using market - implied volatilities and the difference between account values and the present value of future benefits. An equity market decline during first quarter 2025 shifted this calculation, moving the block along the volatility curve. As a result, the weighted - average market volatility input decreased despite rising equity market volatility, which results in unfavorable impacts to the net MRB asset (liability).</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7" w:name="page68"/>
    <w:bookmarkEnd w:id="6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See “Unobservable Inputs for Fair Value Measurement” for additional details on the inputs.</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Unobservable Inputs for Fair Value Measurement</w:t>
      </w:r>
    </w:p>
    <w:p>
      <w:pPr>
        <w:spacing w:after="0" w:line="190" w:lineRule="exact"/>
        <w:rPr>
          <w:sz w:val="20"/>
          <w:szCs w:val="20"/>
          <w:color w:val="auto"/>
        </w:rPr>
      </w:pPr>
    </w:p>
    <w:p>
      <w:pPr>
        <w:ind w:left="2" w:right="40" w:firstLine="576"/>
        <w:spacing w:after="0" w:line="243" w:lineRule="auto"/>
        <w:rPr>
          <w:sz w:val="20"/>
          <w:szCs w:val="20"/>
          <w:color w:val="auto"/>
        </w:rPr>
      </w:pPr>
      <w:r>
        <w:rPr>
          <w:rFonts w:ascii="Times New Roman" w:cs="Times New Roman" w:eastAsia="Times New Roman" w:hAnsi="Times New Roman"/>
          <w:sz w:val="16"/>
          <w:szCs w:val="16"/>
          <w:color w:val="auto"/>
        </w:rPr>
        <w:t>The following table provides quantitative information about the significant unobservable inputs used for fair value measurements of MRBs. The utilization rate and mortality rate inputs are omitted from the table as a range does not provide meaningful presentation. The utilization rate represents the number of contractholders taking withdrawals in addition to the amount and timing of the withdrawals. The mortality rate is an input based on an appropriate industry mortality table.</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44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134"/>
        </w:trPr>
        <w:tc>
          <w:tcPr>
            <w:tcW w:w="50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1"/>
                <w:szCs w:val="11"/>
                <w:color w:val="auto"/>
              </w:rPr>
            </w:pPr>
          </w:p>
        </w:tc>
      </w:tr>
      <w:tr>
        <w:trPr>
          <w:trHeight w:val="170"/>
        </w:trPr>
        <w:tc>
          <w:tcPr>
            <w:tcW w:w="508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Range of inputs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Range of inputs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72"/>
        </w:trPr>
        <w:tc>
          <w:tcPr>
            <w:tcW w:w="50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180"/>
        </w:trPr>
        <w:tc>
          <w:tcPr>
            <w:tcW w:w="5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Individual variable annuities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Long-term interest rate (1)</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4.59</w:t>
            </w:r>
          </w:p>
        </w:tc>
        <w:tc>
          <w:tcPr>
            <w:tcW w:w="1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4.62 %</w:t>
            </w:r>
          </w:p>
        </w:tc>
        <w:tc>
          <w:tcPr>
            <w:tcW w:w="8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4.60 %</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4.85 %</w:t>
            </w:r>
          </w:p>
        </w:tc>
        <w:tc>
          <w:tcPr>
            <w:tcW w:w="7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4.81 %</w:t>
            </w:r>
          </w:p>
        </w:tc>
      </w:tr>
      <w:tr>
        <w:trPr>
          <w:trHeight w:val="180"/>
        </w:trPr>
        <w:tc>
          <w:tcPr>
            <w:tcW w:w="50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Long-term equity market volatility</w:t>
            </w:r>
          </w:p>
        </w:tc>
        <w:tc>
          <w:tcPr>
            <w:tcW w:w="1320" w:type="dxa"/>
            <w:vAlign w:val="bottom"/>
            <w:gridSpan w:val="4"/>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18.10 -  35.43 %</w:t>
            </w:r>
          </w:p>
        </w:tc>
        <w:tc>
          <w:tcPr>
            <w:tcW w:w="8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21.70 %</w:t>
            </w:r>
          </w:p>
        </w:tc>
        <w:tc>
          <w:tcPr>
            <w:tcW w:w="1300" w:type="dxa"/>
            <w:vAlign w:val="bottom"/>
            <w:gridSpan w:val="4"/>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18.10 -  35.53 %</w:t>
            </w:r>
          </w:p>
        </w:tc>
        <w:tc>
          <w:tcPr>
            <w:tcW w:w="7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21.76 %</w:t>
            </w:r>
          </w:p>
        </w:tc>
      </w:tr>
      <w:tr>
        <w:trPr>
          <w:trHeight w:val="180"/>
        </w:trPr>
        <w:tc>
          <w:tcPr>
            <w:tcW w:w="50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Nonperformance risk</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0.49</w:t>
            </w:r>
          </w:p>
        </w:tc>
        <w:tc>
          <w:tcPr>
            <w:tcW w:w="1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1.23 %</w:t>
            </w:r>
          </w:p>
        </w:tc>
        <w:tc>
          <w:tcPr>
            <w:tcW w:w="8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1.02 %</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0.40</w:t>
            </w:r>
          </w:p>
        </w:tc>
        <w:tc>
          <w:tcPr>
            <w:tcW w:w="1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1.10 %</w:t>
            </w:r>
          </w:p>
        </w:tc>
        <w:tc>
          <w:tcPr>
            <w:tcW w:w="7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0.89 %</w:t>
            </w:r>
          </w:p>
        </w:tc>
      </w:tr>
      <w:tr>
        <w:trPr>
          <w:trHeight w:val="205"/>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Lapse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0.90</w:t>
            </w: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55.00 %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6.07 %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55.00 %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ind w:left="282" w:right="420" w:hanging="282"/>
        <w:spacing w:after="0" w:line="259" w:lineRule="auto"/>
        <w:tabs>
          <w:tab w:leader="none" w:pos="28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range of rate curves used in the valuation analysis that we have determined market participants would use when pricing the instrument. The rate curves are derived from an interpolation between various observable swap rates.</w:t>
      </w:r>
    </w:p>
    <w:p>
      <w:pPr>
        <w:spacing w:after="0" w:line="1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11. Reinsurance</w:t>
      </w:r>
    </w:p>
    <w:p>
      <w:pPr>
        <w:spacing w:after="0" w:line="190" w:lineRule="exact"/>
        <w:rPr>
          <w:sz w:val="20"/>
          <w:szCs w:val="20"/>
          <w:color w:val="auto"/>
        </w:rPr>
      </w:pPr>
    </w:p>
    <w:p>
      <w:pPr>
        <w:ind w:left="2" w:right="160" w:firstLine="576"/>
        <w:spacing w:after="0" w:line="241" w:lineRule="auto"/>
        <w:rPr>
          <w:sz w:val="20"/>
          <w:szCs w:val="20"/>
          <w:color w:val="auto"/>
        </w:rPr>
      </w:pPr>
      <w:r>
        <w:rPr>
          <w:rFonts w:ascii="Times New Roman" w:cs="Times New Roman" w:eastAsia="Times New Roman" w:hAnsi="Times New Roman"/>
          <w:sz w:val="16"/>
          <w:szCs w:val="16"/>
          <w:color w:val="auto"/>
        </w:rPr>
        <w:t>We reinsure a portion of the insurance risks associated with our individual disability, traditional life, universal life, medical and long-term care insurance as well as retail fixed annuity contracts with significant life insurance risk through reinsurance agreements with unaffiliated reinsurance companies, primarily on a quota share, excess loss, yearly renewable term (“YRT”) or coinsurance basis. We have coinsurance with funds withheld reinsurance agreements in which we cede our U.S. retail fixed annuity and ULSG blocks of business using both the reinsurance and deposit methods of accounting.</w:t>
      </w:r>
    </w:p>
    <w:p>
      <w:pPr>
        <w:spacing w:after="0" w:line="169" w:lineRule="exact"/>
        <w:rPr>
          <w:sz w:val="20"/>
          <w:szCs w:val="20"/>
          <w:color w:val="auto"/>
        </w:rPr>
      </w:pPr>
    </w:p>
    <w:p>
      <w:pPr>
        <w:ind w:left="2" w:firstLine="576"/>
        <w:spacing w:after="0" w:line="284" w:lineRule="auto"/>
        <w:rPr>
          <w:sz w:val="20"/>
          <w:szCs w:val="20"/>
          <w:color w:val="auto"/>
        </w:rPr>
      </w:pPr>
      <w:r>
        <w:rPr>
          <w:rFonts w:ascii="Times New Roman" w:cs="Times New Roman" w:eastAsia="Times New Roman" w:hAnsi="Times New Roman"/>
          <w:sz w:val="14"/>
          <w:szCs w:val="14"/>
          <w:color w:val="auto"/>
        </w:rPr>
        <w:t>We are contingently liable with respect to reinsurance ceded to other companies in the event the reinsurer is unable to meet the obligations it has assumed. As of March 31, 2025, and December 31, 2024, we had $14,692.7 million and $14,592.6 million of reinsurance recoverable assets, respectively, included in reinsurance recoverable and deposit receivable on the consolidated statements of financial position, which does not reflect potentially offsetting impacts of collateral. As of March 31, 2025, and December 31, 2024, we had $74.9 million and $60.3 million of reinsurance recoverable liabilities, respectively, included in future policy benefits and claims on the consolidated statements of financial position.</w:t>
      </w:r>
    </w:p>
    <w:p>
      <w:pPr>
        <w:spacing w:after="0" w:line="3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effects of reinsurance on premiums and other considerations and policy and contract benefits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2"/>
          </w:tcPr>
          <w:p>
            <w:pPr>
              <w:jc w:val="right"/>
              <w:ind w:right="2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00" w:type="dxa"/>
            <w:vAlign w:val="bottom"/>
          </w:tcPr>
          <w:p>
            <w:pPr>
              <w:spacing w:after="0"/>
              <w:rPr>
                <w:sz w:val="11"/>
                <w:szCs w:val="11"/>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6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Direct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1,883.4</w:t>
            </w:r>
          </w:p>
        </w:tc>
        <w:tc>
          <w:tcPr>
            <w:tcW w:w="54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1,804.3</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Ceded</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(132.1)</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(119.7)</w:t>
            </w:r>
          </w:p>
        </w:tc>
      </w:tr>
      <w:tr>
        <w:trPr>
          <w:trHeight w:val="212"/>
        </w:trPr>
        <w:tc>
          <w:tcPr>
            <w:tcW w:w="68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premiums and other considerations</w:t>
            </w: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1,751.3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1,684.6</w:t>
            </w:r>
          </w:p>
        </w:tc>
      </w:tr>
      <w:tr>
        <w:trPr>
          <w:trHeight w:val="156"/>
        </w:trPr>
        <w:tc>
          <w:tcPr>
            <w:tcW w:w="6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6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Direct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2,598.0</w:t>
            </w:r>
          </w:p>
        </w:tc>
        <w:tc>
          <w:tcPr>
            <w:tcW w:w="54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2,487.5</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Ceded</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(378.0)</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(417.8)</w:t>
            </w:r>
          </w:p>
        </w:tc>
      </w:tr>
      <w:tr>
        <w:trPr>
          <w:trHeight w:val="212"/>
        </w:trPr>
        <w:tc>
          <w:tcPr>
            <w:tcW w:w="68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benefits, claims and settlement expenses</w:t>
            </w: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2,220.0</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2,069.7</w:t>
            </w:r>
          </w:p>
        </w:tc>
      </w:tr>
      <w:tr>
        <w:trPr>
          <w:trHeight w:val="156"/>
        </w:trPr>
        <w:tc>
          <w:tcPr>
            <w:tcW w:w="6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LFPB remeasurement (gain) loss: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68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Direct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w:t>
            </w:r>
          </w:p>
        </w:tc>
        <w:tc>
          <w:tcPr>
            <w:tcW w:w="54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Ceded</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(29.7)</w:t>
            </w:r>
          </w:p>
        </w:tc>
      </w:tr>
      <w:tr>
        <w:trPr>
          <w:trHeight w:val="172"/>
        </w:trPr>
        <w:tc>
          <w:tcPr>
            <w:tcW w:w="68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LFPB remeasurement (gain) loss</w:t>
            </w: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2.2</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w:t>
            </w: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As of March 31, 2025 and December 31, 2024, we had a$4,699.9 million and $4,897.5 million reinsurance deposit receivable, respectively.</w:t>
      </w:r>
    </w:p>
    <w:p>
      <w:pPr>
        <w:spacing w:after="0" w:line="211"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Refer to Note 4, Investments, for information on our financing receivables valuation allowance related to the reinsurance recoverable and deposit receivable.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Reinsurance</w:t>
      </w:r>
    </w:p>
    <w:p>
      <w:pPr>
        <w:spacing w:after="0" w:line="190"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A reinsurance asset or liability is established to spread the expected net reinsurance costs or profits over the expected term of the contracts. The cost of reinsurance asset and liability are reported in premiums due and other receivables and liability for future policy benefits and claims, respectively, on the consolidated statements of financial position. The cost of reinsurance asset and liability included on the consolidated statements of financial position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8"/>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center"/>
              <w:ind w:right="134"/>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700" w:type="dxa"/>
            <w:vAlign w:val="bottom"/>
          </w:tcPr>
          <w:p>
            <w:pPr>
              <w:spacing w:after="0"/>
              <w:rPr>
                <w:sz w:val="11"/>
                <w:szCs w:val="11"/>
                <w:color w:val="auto"/>
              </w:rPr>
            </w:pPr>
          </w:p>
        </w:tc>
      </w:tr>
      <w:tr>
        <w:trPr>
          <w:trHeight w:val="180"/>
        </w:trPr>
        <w:tc>
          <w:tcPr>
            <w:tcW w:w="6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reinsurance asset</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3,165.9</w:t>
            </w:r>
          </w:p>
        </w:tc>
        <w:tc>
          <w:tcPr>
            <w:tcW w:w="620" w:type="dxa"/>
            <w:vAlign w:val="bottom"/>
            <w:gridSpan w:val="2"/>
            <w:shd w:val="clear" w:color="auto" w:fill="CCEEFF"/>
          </w:tcPr>
          <w:p>
            <w:pPr>
              <w:jc w:val="center"/>
              <w:ind w:right="11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3,187.6</w:t>
            </w:r>
          </w:p>
        </w:tc>
      </w:tr>
      <w:tr>
        <w:trPr>
          <w:trHeight w:val="180"/>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6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reinsurance liability</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956.9</w:t>
            </w:r>
          </w:p>
        </w:tc>
        <w:tc>
          <w:tcPr>
            <w:tcW w:w="620" w:type="dxa"/>
            <w:vAlign w:val="bottom"/>
            <w:gridSpan w:val="2"/>
            <w:shd w:val="clear" w:color="auto" w:fill="CCEEFF"/>
          </w:tcPr>
          <w:p>
            <w:pPr>
              <w:jc w:val="center"/>
              <w:ind w:right="11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958.1</w:t>
            </w:r>
          </w:p>
        </w:tc>
      </w:tr>
    </w:tbl>
    <w:p>
      <w:pPr>
        <w:spacing w:after="0" w:line="167" w:lineRule="exact"/>
        <w:rPr>
          <w:sz w:val="20"/>
          <w:szCs w:val="20"/>
          <w:color w:val="auto"/>
        </w:rPr>
      </w:pPr>
    </w:p>
    <w:p>
      <w:pPr>
        <w:ind w:right="300" w:firstLine="576"/>
        <w:spacing w:after="0" w:line="247" w:lineRule="auto"/>
        <w:rPr>
          <w:sz w:val="20"/>
          <w:szCs w:val="20"/>
          <w:color w:val="auto"/>
        </w:rPr>
      </w:pPr>
      <w:r>
        <w:rPr>
          <w:rFonts w:ascii="Times New Roman" w:cs="Times New Roman" w:eastAsia="Times New Roman" w:hAnsi="Times New Roman"/>
          <w:sz w:val="16"/>
          <w:szCs w:val="16"/>
          <w:color w:val="auto"/>
        </w:rPr>
        <w:t>Cost of reinsurance amortization, including the impacts of remeasurement, of $20.0 million and $5.5 million for the three months ended March 31, 2025 and 2024, respectively, was reported in benefits, claims and settlement expenses and liability for future policy benefits remeasurement (gain) loss on the consolidated statements of operations.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Funds Withheld</w:t>
      </w:r>
    </w:p>
    <w:p>
      <w:pPr>
        <w:spacing w:after="0" w:line="190"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The following assets were held in support of our reserves associated with our coinsurance with funds withheld agreementsand are reported in the line items shown on the consolidated statements of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4"/>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3"/>
          </w:tcPr>
          <w:p>
            <w:pPr>
              <w:jc w:val="center"/>
              <w:ind w:right="88"/>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740" w:type="dxa"/>
            <w:vAlign w:val="bottom"/>
          </w:tcPr>
          <w:p>
            <w:pPr>
              <w:spacing w:after="0"/>
              <w:rPr>
                <w:sz w:val="11"/>
                <w:szCs w:val="11"/>
                <w:color w:val="auto"/>
              </w:rPr>
            </w:pPr>
          </w:p>
        </w:tc>
      </w:tr>
      <w:tr>
        <w:trPr>
          <w:trHeight w:val="180"/>
        </w:trPr>
        <w:tc>
          <w:tcPr>
            <w:tcW w:w="6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13,496.7</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center"/>
              <w:ind w:right="16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13,519.6</w:t>
            </w:r>
          </w:p>
        </w:tc>
      </w:tr>
      <w:tr>
        <w:trPr>
          <w:trHeight w:val="180"/>
        </w:trPr>
        <w:tc>
          <w:tcPr>
            <w:tcW w:w="6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299.4</w:t>
            </w:r>
          </w:p>
        </w:tc>
      </w:tr>
      <w:tr>
        <w:trPr>
          <w:trHeight w:val="180"/>
        </w:trPr>
        <w:tc>
          <w:tcPr>
            <w:tcW w:w="6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6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2,125.9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2,212.4</w:t>
            </w:r>
          </w:p>
        </w:tc>
      </w:tr>
      <w:tr>
        <w:trPr>
          <w:trHeight w:val="180"/>
        </w:trPr>
        <w:tc>
          <w:tcPr>
            <w:tcW w:w="6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1,142.8</w:t>
            </w:r>
          </w:p>
        </w:tc>
      </w:tr>
      <w:tr>
        <w:trPr>
          <w:trHeight w:val="180"/>
        </w:trPr>
        <w:tc>
          <w:tcPr>
            <w:tcW w:w="6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1,137.0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1,080.1</w:t>
            </w:r>
          </w:p>
        </w:tc>
      </w:tr>
      <w:tr>
        <w:trPr>
          <w:trHeight w:val="180"/>
        </w:trPr>
        <w:tc>
          <w:tcPr>
            <w:tcW w:w="6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interest income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166.2</w:t>
            </w:r>
          </w:p>
        </w:tc>
      </w:tr>
      <w:tr>
        <w:trPr>
          <w:trHeight w:val="180"/>
        </w:trPr>
        <w:tc>
          <w:tcPr>
            <w:tcW w:w="6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other liabilities</w:t>
            </w:r>
          </w:p>
        </w:tc>
        <w:tc>
          <w:tcPr>
            <w:tcW w:w="100" w:type="dxa"/>
            <w:vAlign w:val="bottom"/>
          </w:tcPr>
          <w:p>
            <w:pPr>
              <w:spacing w:after="0"/>
              <w:rPr>
                <w:sz w:val="15"/>
                <w:szCs w:val="15"/>
                <w:color w:val="auto"/>
              </w:rPr>
            </w:pPr>
          </w:p>
        </w:tc>
        <w:tc>
          <w:tcPr>
            <w:tcW w:w="1100" w:type="dxa"/>
            <w:vAlign w:val="bottom"/>
            <w:gridSpan w:val="2"/>
          </w:tcPr>
          <w:p>
            <w:pPr>
              <w:jc w:val="right"/>
              <w:ind w:right="14"/>
              <w:spacing w:after="0" w:line="180" w:lineRule="exact"/>
              <w:rPr>
                <w:sz w:val="20"/>
                <w:szCs w:val="20"/>
                <w:color w:val="auto"/>
              </w:rPr>
            </w:pPr>
            <w:r>
              <w:rPr>
                <w:rFonts w:ascii="Times New Roman" w:cs="Times New Roman" w:eastAsia="Times New Roman" w:hAnsi="Times New Roman"/>
                <w:sz w:val="16"/>
                <w:szCs w:val="16"/>
                <w:b w:val="1"/>
                <w:bCs w:val="1"/>
                <w:color w:val="auto"/>
              </w:rPr>
              <w:t>(99.9)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(99.4)</w:t>
            </w:r>
          </w:p>
        </w:tc>
      </w:tr>
      <w:tr>
        <w:trPr>
          <w:trHeight w:val="172"/>
        </w:trPr>
        <w:tc>
          <w:tcPr>
            <w:tcW w:w="692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18,375.5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center"/>
              <w:ind w:right="248"/>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18,321.4</w:t>
            </w: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576"/>
        <w:spacing w:after="0" w:line="243" w:lineRule="auto"/>
        <w:rPr>
          <w:sz w:val="20"/>
          <w:szCs w:val="20"/>
          <w:color w:val="auto"/>
        </w:rPr>
      </w:pPr>
      <w:r>
        <w:rPr>
          <w:rFonts w:ascii="Times New Roman" w:cs="Times New Roman" w:eastAsia="Times New Roman" w:hAnsi="Times New Roman"/>
          <w:sz w:val="16"/>
          <w:szCs w:val="16"/>
          <w:color w:val="auto"/>
        </w:rPr>
        <w:t>Certain assets are reported at amortized cost while the fair value of those assets is reflected in the funds withheld payable. As of March 31, 2025 and December 31, 2024, we had a $18,212.3 million and $18,103.7 million funds withheld payable, which was net of a $2,804.8 million and $3,014.5 million embedded derivative asset, respectively. The change in fair value of the embedded derivative was a gain (loss) of$(209.7) million and $197.0 million for the three months ended March 31, 2025 and 2024, respectively.</w:t>
      </w:r>
    </w:p>
    <w:p>
      <w:pPr>
        <w:spacing w:after="0" w:line="167" w:lineRule="exact"/>
        <w:rPr>
          <w:sz w:val="20"/>
          <w:szCs w:val="20"/>
          <w:color w:val="auto"/>
        </w:rPr>
      </w:pPr>
    </w:p>
    <w:p>
      <w:pPr>
        <w:ind w:right="100" w:firstLine="576"/>
        <w:spacing w:after="0" w:line="241" w:lineRule="auto"/>
        <w:rPr>
          <w:sz w:val="20"/>
          <w:szCs w:val="20"/>
          <w:color w:val="auto"/>
        </w:rPr>
      </w:pPr>
      <w:r>
        <w:rPr>
          <w:rFonts w:ascii="Times New Roman" w:cs="Times New Roman" w:eastAsia="Times New Roman" w:hAnsi="Times New Roman"/>
          <w:sz w:val="16"/>
          <w:szCs w:val="16"/>
          <w:color w:val="auto"/>
        </w:rPr>
        <w:t>While the economic benefits of the funds withheld assets flow to the reinsurer, we retain legal ownership of the assets within the funds withheld account. Guidelines are in place to ensure the investment risk is appropriately managed. Net investment income and net realized capital gains (losses) related to the assets on the consolidated statements of operations is reported net of the amounts that flow to the reinsurer. The realized gains and losses that do not flow to the reinsurer are reported in net realized capital gains (losses) on funds withheld assets on the consolidated statements of operations.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Following are the components of net realized capital gains (losses) on the funds withheld assets that were passed to the reinsurer.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00" w:type="dxa"/>
            <w:vAlign w:val="bottom"/>
            <w:gridSpan w:val="3"/>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4120" w:type="dxa"/>
            <w:vAlign w:val="bottom"/>
            <w:gridSpan w:val="2"/>
            <w:shd w:val="clear" w:color="auto" w:fill="CCEEFF"/>
          </w:tcPr>
          <w:p>
            <w:pPr>
              <w:jc w:val="right"/>
              <w:ind w:right="61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(28.0)</w:t>
            </w:r>
          </w:p>
        </w:tc>
        <w:tc>
          <w:tcPr>
            <w:tcW w:w="46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3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3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Derivatives</w:t>
            </w:r>
          </w:p>
        </w:tc>
        <w:tc>
          <w:tcPr>
            <w:tcW w:w="33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realized capital losses</w:t>
            </w:r>
          </w:p>
        </w:tc>
        <w:tc>
          <w:tcPr>
            <w:tcW w:w="33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10"/>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(31.5)</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360" w:type="dxa"/>
            <w:vAlign w:val="bottom"/>
            <w:vMerge w:val="restart"/>
          </w:tcPr>
          <w:p>
            <w:pPr>
              <w:jc w:val="right"/>
              <w:ind w:right="1922"/>
              <w:spacing w:after="0"/>
              <w:rPr>
                <w:sz w:val="20"/>
                <w:szCs w:val="20"/>
                <w:color w:val="auto"/>
              </w:rPr>
            </w:pPr>
            <w:r>
              <w:rPr>
                <w:rFonts w:ascii="Times New Roman" w:cs="Times New Roman" w:eastAsia="Times New Roman" w:hAnsi="Times New Roman"/>
                <w:sz w:val="16"/>
                <w:szCs w:val="16"/>
                <w:color w:val="auto"/>
              </w:rPr>
              <w:t>70</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Long-Term Debt</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components of long-term debt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34"/>
        </w:trPr>
        <w:tc>
          <w:tcPr>
            <w:tcW w:w="6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Net unamortized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premium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debt issuance</w:t>
            </w:r>
          </w:p>
        </w:tc>
        <w:tc>
          <w:tcPr>
            <w:tcW w:w="14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0"/>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costs</w:t>
            </w:r>
          </w:p>
        </w:tc>
        <w:tc>
          <w:tcPr>
            <w:tcW w:w="140" w:type="dxa"/>
            <w:vAlign w:val="bottom"/>
          </w:tcPr>
          <w:p>
            <w:pPr>
              <w:spacing w:after="0"/>
              <w:rPr>
                <w:sz w:val="14"/>
                <w:szCs w:val="14"/>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36"/>
        </w:trPr>
        <w:tc>
          <w:tcPr>
            <w:tcW w:w="6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3.4% notes payable, due 2025</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400.0</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400.0</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3.1% notes payable, due 2026</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349.5</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4.111% notes payable, due 2028</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(13.0)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387.0</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3.7% notes payable, due 2029</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497.1</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2.125% notes payable, due 2030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597.4</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5.375% notes payable, due 2033</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396.5</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6.05% notes payable, due 2036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505.6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503.6</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4.625% notes payable, due 2042</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297.3</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4.35% notes payable, due 2043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297.2</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4.3% notes payable, due 2046</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297.1</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5.5% notes payable, due 2053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295.7</w:t>
            </w:r>
          </w:p>
        </w:tc>
      </w:tr>
      <w:tr>
        <w:trPr>
          <w:trHeight w:val="180"/>
        </w:trPr>
        <w:tc>
          <w:tcPr>
            <w:tcW w:w="6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Non-recourse mortgages and notes payable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r>
      <w:tr>
        <w:trPr>
          <w:trHeight w:val="172"/>
        </w:trPr>
        <w:tc>
          <w:tcPr>
            <w:tcW w:w="61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4,358.6</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(37.3)</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4,321.3</w:t>
            </w: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24"/>
        </w:trPr>
        <w:tc>
          <w:tcPr>
            <w:tcW w:w="6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34"/>
        </w:trPr>
        <w:tc>
          <w:tcPr>
            <w:tcW w:w="6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Net unamortized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premium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debt issuance</w:t>
            </w:r>
          </w:p>
        </w:tc>
        <w:tc>
          <w:tcPr>
            <w:tcW w:w="14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0"/>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costs</w:t>
            </w:r>
          </w:p>
        </w:tc>
        <w:tc>
          <w:tcPr>
            <w:tcW w:w="140" w:type="dxa"/>
            <w:vAlign w:val="bottom"/>
          </w:tcPr>
          <w:p>
            <w:pPr>
              <w:spacing w:after="0"/>
              <w:rPr>
                <w:sz w:val="14"/>
                <w:szCs w:val="14"/>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36"/>
        </w:trPr>
        <w:tc>
          <w:tcPr>
            <w:tcW w:w="6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3.4% notes payable, due 2025</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399.8</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3.1% notes payable, due 2026</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349.3</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3.7% notes payable, due 2029</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496.9</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2.125% notes payable, due 2030</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597.2</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5.375% notes payable, due 2033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396.5</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6.05% notes payable, due 2036</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505.6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503.6</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4.625% notes payable, due 2042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297.3</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4.35% notes payable, due 2043</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297.2</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4.3% notes payable, due 2046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297.1</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5.5% notes payable, due 2053</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295.7</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Secured credit facilities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r>
      <w:tr>
        <w:trPr>
          <w:trHeight w:val="180"/>
        </w:trPr>
        <w:tc>
          <w:tcPr>
            <w:tcW w:w="6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Non-recourse mortgages and notes payable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72"/>
        </w:trPr>
        <w:tc>
          <w:tcPr>
            <w:tcW w:w="61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3,980.4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(25.1)</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3,955.3</w:t>
            </w: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Net discount, premium and issuance costs associated with issuing these notes are amortized to expense over the respective terms using the interest method.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Contingent Funding Agreements for Senior Debt Issuance</w:t>
      </w:r>
    </w:p>
    <w:p>
      <w:pPr>
        <w:spacing w:after="0" w:line="190" w:lineRule="exact"/>
        <w:rPr>
          <w:sz w:val="20"/>
          <w:szCs w:val="20"/>
          <w:color w:val="auto"/>
        </w:rPr>
      </w:pPr>
    </w:p>
    <w:p>
      <w:pPr>
        <w:ind w:firstLine="576"/>
        <w:spacing w:after="0" w:line="272" w:lineRule="auto"/>
        <w:rPr>
          <w:sz w:val="20"/>
          <w:szCs w:val="20"/>
          <w:color w:val="auto"/>
        </w:rPr>
      </w:pPr>
      <w:r>
        <w:rPr>
          <w:rFonts w:ascii="Times New Roman" w:cs="Times New Roman" w:eastAsia="Times New Roman" w:hAnsi="Times New Roman"/>
          <w:sz w:val="14"/>
          <w:szCs w:val="14"/>
          <w:color w:val="auto"/>
        </w:rPr>
        <w:t>On March 8, 2018, we entered into two contingent funding agreements: (1) a 10-year contingent funding agreement with a Delaware trust (“2028 Trust”) formed by us in connection with the sale by the trust of $400.0 million pre-capitalized trust securities redeemable February 15, 2028 (“2028 P-Caps”) in a Rule 144A private placement and (2) a 30-year contingent funding agreement with a Delaware trust (“2048 Trust”) formed by us in connection with the sale by the trust of $350.0 million pre -capitalized trust securities redeemable February 15, 2048 (“2048 P-Caps”) in a Rule 144A private placement. The trusts invested the proceeds from the sale of the 2028 P-Caps and 2048 P- Caps in a portfolio of principal and interest strips of U.S. Treasury securities. The contingent funding agreements provide us a put option that gives us the right to sell at any time: (1) to the 2028 Trust up to $400.0 million of its 4.111% Senior Notes due 2028 (“4.111% Senior Notes”) and (2) to the 2048 Trust up to $350.0 million of its</w:t>
      </w:r>
    </w:p>
    <w:p>
      <w:pPr>
        <w:spacing w:after="0" w:line="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4.682% Senior Notes due 2048 (“4.682% Senior Notes”) and receive in exchange a corresponding amount of the principal and interest strips of U.S. Treasury securities held by the trusts (“Eligible Assets”). The 4.682% Senior Notes will not be issued unless and until a put option is exercised, while the put option for the 4.111% Senior Notes was exercised on March 19, 2025. We agreed to pay a semi -annual put premium of 1.275% and 1.580% per annum on the unexercised portion of the put option to the 2028 Trust and 2048 Trust, respectively, and to reimburse the trusts for expenses. The put option premiums are recorded in operating expenses in the consolidated statements of operations. The 4.111% Senior Notes and 4.682% Senior Notes will be fully, irrevocably and unconditionally guaranteed by Principal Financial Services, Inc. (“PFS”). In addition, our obligations under the put option agreement and the expense reimbursement agreement with the trusts are also guaranteed by PFS. The contingent funding agreements with the trusts provide us with a source of liquid assets, which could be used to meet future financial obligations or to provide additional capital.</w:t>
      </w:r>
    </w:p>
    <w:p>
      <w:pPr>
        <w:spacing w:after="0" w:line="149" w:lineRule="exact"/>
        <w:rPr>
          <w:sz w:val="20"/>
          <w:szCs w:val="20"/>
          <w:color w:val="auto"/>
        </w:rPr>
      </w:pPr>
    </w:p>
    <w:p>
      <w:pPr>
        <w:ind w:right="60" w:firstLine="576"/>
        <w:spacing w:after="0" w:line="239" w:lineRule="auto"/>
        <w:rPr>
          <w:sz w:val="20"/>
          <w:szCs w:val="20"/>
          <w:color w:val="auto"/>
        </w:rPr>
      </w:pPr>
      <w:r>
        <w:rPr>
          <w:rFonts w:ascii="Times New Roman" w:cs="Times New Roman" w:eastAsia="Times New Roman" w:hAnsi="Times New Roman"/>
          <w:sz w:val="16"/>
          <w:szCs w:val="16"/>
          <w:color w:val="auto"/>
        </w:rPr>
        <w:t>On March 19, 2025, we completed the exercise of our rights in full under the put option with the 2028 Trust in exchange for the Eligible Assets (the “2028 P - Caps Exercise”). In connection with the exercise of our put options right, we (1) issued $400.0 million of 4.111% Senior Notes due 2028 (“2028 Notes”) to the 2028 Trust (2) waived our rights to repurchase the 2028 Notes and (3) directed The Bank of New York Mellon to dissolve the 2028 Trust in accordance with its declaration of trust and deliver the 2028 Notes to the beneficial holders of the 2028 P- Caps pro rata in respect of each 2028 P-Cap. We intend to use the proceeds from the 2028 P -Caps Exercise to redeem or repay at or prior to maturity all $400.0 million aggregate principal amount outstanding of our 3.400% senior notes that mature on May 15, 2025 (the “2025 Notes”), in accordance with the terms of the indenture governing the 2025 Notes.</w:t>
      </w:r>
    </w:p>
    <w:p>
      <w:pPr>
        <w:spacing w:after="0" w:line="170" w:lineRule="exact"/>
        <w:rPr>
          <w:sz w:val="20"/>
          <w:szCs w:val="20"/>
          <w:color w:val="auto"/>
        </w:rPr>
      </w:pPr>
    </w:p>
    <w:p>
      <w:pPr>
        <w:ind w:firstLine="576"/>
        <w:spacing w:after="0" w:line="275" w:lineRule="auto"/>
        <w:rPr>
          <w:sz w:val="20"/>
          <w:szCs w:val="20"/>
          <w:color w:val="auto"/>
        </w:rPr>
      </w:pPr>
      <w:r>
        <w:rPr>
          <w:rFonts w:ascii="Times New Roman" w:cs="Times New Roman" w:eastAsia="Times New Roman" w:hAnsi="Times New Roman"/>
          <w:sz w:val="14"/>
          <w:szCs w:val="14"/>
          <w:color w:val="auto"/>
        </w:rPr>
        <w:t>In addition, on March 6, 2025, we entered into a 30-year contingent funding agreement with a Delaware trust (“2055 Trust”) formed by us in connection with the sale by the trust of $500.0 million pre-capitalized trust securities redeemable February 15, 2055 (“2055 P-Caps”) in a Rule 144A private placement. The trusts invested the proceeds from the sale of the 2055 P -Caps in a portfolio of principal and interest strips of U.S. Treasury securities. The contingent funding agreements provide us the right to sell at any time to the 2055 Trust up to $500.0 million of its 5.807% Senior Notes due 2055 (“5.807% Senior Notes”) and receive in exchange a corresponding amount of the principal and interest strips of U.S. Treasury securities held by the trusts. The 5.807% Senior Notes will not be issued unless and until we exercise our issuance right. We agreed to pay a semi-annual facility fee of 1.289% per annum on the unexercised portion of the contingent fund mechanism to the 2055 Trust (the “facility agreement”), respectively, and to reimburse the trusts for expenses. The facility fee paid under the facility agreement is recorded in operating expenses in the consolidated statements of operations. The 5.807% Senior Notes will be fully, irrevocably and unconditionally guaranteed by PFS. In addition, our obligations under the facility agreement and the expense reimbursement agreement with the trusts are also guaranteed by PFS.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72" w:name="page73"/>
    <w:bookmarkEnd w:id="7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right="7580" w:hanging="2"/>
        <w:spacing w:after="0" w:line="556" w:lineRule="auto"/>
        <w:tabs>
          <w:tab w:leader="none" w:pos="236"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 Effective Income Tax Rate</w:t>
      </w:r>
    </w:p>
    <w:p>
      <w:pPr>
        <w:ind w:left="2" w:right="460" w:firstLine="576"/>
        <w:spacing w:after="0" w:line="259" w:lineRule="auto"/>
        <w:rPr>
          <w:sz w:val="20"/>
          <w:szCs w:val="20"/>
          <w:color w:val="auto"/>
        </w:rPr>
      </w:pPr>
      <w:r>
        <w:rPr>
          <w:rFonts w:ascii="Times New Roman" w:cs="Times New Roman" w:eastAsia="Times New Roman" w:hAnsi="Times New Roman"/>
          <w:sz w:val="16"/>
          <w:szCs w:val="16"/>
          <w:color w:val="auto"/>
        </w:rPr>
        <w:t>Our provision for income taxes may not have the customary relationship of taxes to income. A reconciliation between the income tax provision at the U.S. corporate income tax rate and the income tax expense (benefit) at the effective income tax rate was as follows: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gridSpan w:val="7"/>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4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r>
      <w:tr>
        <w:trPr>
          <w:trHeight w:val="136"/>
        </w:trPr>
        <w:tc>
          <w:tcPr>
            <w:tcW w:w="47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4"/>
          </w:tcPr>
          <w:p>
            <w:pPr>
              <w:jc w:val="right"/>
              <w:ind w:right="22"/>
              <w:spacing w:after="0" w:line="136" w:lineRule="exact"/>
              <w:rPr>
                <w:sz w:val="20"/>
                <w:szCs w:val="20"/>
                <w:color w:val="auto"/>
              </w:rPr>
            </w:pPr>
            <w:r>
              <w:rPr>
                <w:rFonts w:ascii="Times New Roman" w:cs="Times New Roman" w:eastAsia="Times New Roman" w:hAnsi="Times New Roman"/>
                <w:sz w:val="13"/>
                <w:szCs w:val="13"/>
                <w:i w:val="1"/>
                <w:iCs w:val="1"/>
                <w:color w:val="auto"/>
              </w:rPr>
              <w:t>($ in millions)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4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2540" w:type="dxa"/>
            <w:vAlign w:val="bottom"/>
            <w:gridSpan w:val="2"/>
            <w:shd w:val="clear" w:color="auto" w:fill="CCEEFF"/>
          </w:tcPr>
          <w:p>
            <w:pPr>
              <w:jc w:val="right"/>
              <w:ind w:right="55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28.9</w:t>
            </w:r>
          </w:p>
        </w:tc>
        <w:tc>
          <w:tcPr>
            <w:tcW w:w="3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627.1</w:t>
            </w:r>
          </w:p>
        </w:tc>
        <w:tc>
          <w:tcPr>
            <w:tcW w:w="140" w:type="dxa"/>
            <w:vAlign w:val="bottom"/>
            <w:shd w:val="clear" w:color="auto" w:fill="CCEEFF"/>
          </w:tcPr>
          <w:p>
            <w:pPr>
              <w:spacing w:after="0"/>
              <w:rPr>
                <w:sz w:val="15"/>
                <w:szCs w:val="15"/>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56"/>
        </w:trPr>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4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tax at the U.S. statutory rate</w:t>
            </w:r>
          </w:p>
        </w:tc>
        <w:tc>
          <w:tcPr>
            <w:tcW w:w="2540" w:type="dxa"/>
            <w:vAlign w:val="bottom"/>
            <w:gridSpan w:val="2"/>
            <w:shd w:val="clear" w:color="auto" w:fill="CCEEFF"/>
          </w:tcPr>
          <w:p>
            <w:pPr>
              <w:jc w:val="right"/>
              <w:ind w:right="55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w:t>
            </w:r>
          </w:p>
        </w:tc>
        <w:tc>
          <w:tcPr>
            <w:tcW w:w="3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131.7</w:t>
            </w:r>
          </w:p>
        </w:tc>
        <w:tc>
          <w:tcPr>
            <w:tcW w:w="140" w:type="dxa"/>
            <w:vAlign w:val="bottom"/>
            <w:shd w:val="clear" w:color="auto" w:fill="CCEEFF"/>
          </w:tcPr>
          <w:p>
            <w:pPr>
              <w:spacing w:after="0"/>
              <w:rPr>
                <w:sz w:val="15"/>
                <w:szCs w:val="15"/>
                <w:color w:val="auto"/>
              </w:rPr>
            </w:pPr>
          </w:p>
        </w:tc>
      </w:tr>
      <w:tr>
        <w:trPr>
          <w:trHeight w:val="180"/>
        </w:trPr>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credits</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(29.6)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(16.2)</w:t>
            </w:r>
          </w:p>
        </w:tc>
      </w:tr>
      <w:tr>
        <w:trPr>
          <w:trHeight w:val="180"/>
        </w:trPr>
        <w:tc>
          <w:tcPr>
            <w:tcW w:w="47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Dividends received deduction</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(18.2)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(19.4)</w:t>
            </w:r>
          </w:p>
        </w:tc>
      </w:tr>
      <w:tr>
        <w:trPr>
          <w:trHeight w:val="180"/>
        </w:trPr>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Impact of equity method presentation</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5"/>
                <w:szCs w:val="15"/>
                <w:color w:val="auto"/>
              </w:rPr>
            </w:pPr>
          </w:p>
        </w:tc>
      </w:tr>
      <w:tr>
        <w:trPr>
          <w:trHeight w:val="180"/>
        </w:trPr>
        <w:tc>
          <w:tcPr>
            <w:tcW w:w="47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exclusion from taxable income</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CEEFF"/>
          </w:tcPr>
          <w:p>
            <w:pPr>
              <w:spacing w:after="0"/>
              <w:rPr>
                <w:sz w:val="15"/>
                <w:szCs w:val="15"/>
                <w:color w:val="auto"/>
              </w:rPr>
            </w:pPr>
          </w:p>
        </w:tc>
      </w:tr>
      <w:tr>
        <w:trPr>
          <w:trHeight w:val="180"/>
        </w:trPr>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Employee compensation</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5"/>
                <w:szCs w:val="15"/>
                <w:color w:val="auto"/>
              </w:rPr>
            </w:pPr>
          </w:p>
        </w:tc>
      </w:tr>
      <w:tr>
        <w:trPr>
          <w:trHeight w:val="180"/>
        </w:trPr>
        <w:tc>
          <w:tcPr>
            <w:tcW w:w="47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Low income housing tax credit amortization</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12.2</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5"/>
                <w:szCs w:val="15"/>
                <w:color w:val="auto"/>
              </w:rPr>
            </w:pPr>
          </w:p>
        </w:tc>
      </w:tr>
      <w:tr>
        <w:trPr>
          <w:trHeight w:val="180"/>
        </w:trPr>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country statutory rate differential</w:t>
            </w:r>
          </w:p>
        </w:tc>
        <w:tc>
          <w:tcPr>
            <w:tcW w:w="1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5"/>
                <w:szCs w:val="15"/>
                <w:color w:val="auto"/>
              </w:rPr>
            </w:pPr>
          </w:p>
        </w:tc>
      </w:tr>
      <w:tr>
        <w:trPr>
          <w:trHeight w:val="180"/>
        </w:trPr>
        <w:tc>
          <w:tcPr>
            <w:tcW w:w="47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 income taxes</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5"/>
                <w:szCs w:val="15"/>
                <w:color w:val="auto"/>
              </w:rPr>
            </w:pPr>
          </w:p>
        </w:tc>
      </w:tr>
      <w:tr>
        <w:trPr>
          <w:trHeight w:val="180"/>
        </w:trPr>
        <w:tc>
          <w:tcPr>
            <w:tcW w:w="470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8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CCEEFF"/>
            </w:tcBorders>
          </w:tcPr>
          <w:p>
            <w:pPr>
              <w:spacing w:after="0"/>
              <w:rPr>
                <w:sz w:val="15"/>
                <w:szCs w:val="15"/>
                <w:color w:val="auto"/>
              </w:rPr>
            </w:pPr>
          </w:p>
        </w:tc>
      </w:tr>
      <w:tr>
        <w:trPr>
          <w:trHeight w:val="172"/>
        </w:trPr>
        <w:tc>
          <w:tcPr>
            <w:tcW w:w="47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Income taxes (benefits)</w:t>
            </w:r>
          </w:p>
        </w:tc>
        <w:tc>
          <w:tcPr>
            <w:tcW w:w="18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50"/>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(34.0)</w:t>
            </w:r>
          </w:p>
        </w:tc>
        <w:tc>
          <w:tcPr>
            <w:tcW w:w="3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95.1</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4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Effective income tax rate</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(118)%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left="2" w:right="160" w:firstLine="576"/>
        <w:spacing w:after="0" w:line="259" w:lineRule="auto"/>
        <w:rPr>
          <w:sz w:val="20"/>
          <w:szCs w:val="20"/>
          <w:color w:val="auto"/>
        </w:rPr>
      </w:pPr>
      <w:r>
        <w:rPr>
          <w:rFonts w:ascii="Times New Roman" w:cs="Times New Roman" w:eastAsia="Times New Roman" w:hAnsi="Times New Roman"/>
          <w:sz w:val="16"/>
          <w:szCs w:val="16"/>
          <w:color w:val="auto"/>
        </w:rPr>
        <w:t>The lower effective tax rate for the three months ended March 31, 2025, was primarily the result of a decrease in pre - tax income with no proportionate change in permanent tax differences.</w:t>
      </w:r>
    </w:p>
    <w:p>
      <w:pPr>
        <w:spacing w:after="0" w:line="1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Pillar Two Model Rules</w:t>
      </w:r>
    </w:p>
    <w:p>
      <w:pPr>
        <w:spacing w:after="0" w:line="178" w:lineRule="exact"/>
        <w:rPr>
          <w:sz w:val="20"/>
          <w:szCs w:val="20"/>
          <w:color w:val="auto"/>
        </w:rPr>
      </w:pPr>
    </w:p>
    <w:p>
      <w:pPr>
        <w:ind w:left="2" w:right="40" w:firstLine="576"/>
        <w:spacing w:after="0" w:line="241" w:lineRule="auto"/>
        <w:rPr>
          <w:sz w:val="20"/>
          <w:szCs w:val="20"/>
          <w:color w:val="auto"/>
        </w:rPr>
      </w:pPr>
      <w:r>
        <w:rPr>
          <w:rFonts w:ascii="Times New Roman" w:cs="Times New Roman" w:eastAsia="Times New Roman" w:hAnsi="Times New Roman"/>
          <w:sz w:val="16"/>
          <w:szCs w:val="16"/>
          <w:color w:val="auto"/>
        </w:rPr>
        <w:t>We are currently monitoring global enactments of the Pillar Two model rules proposed by the Organisation for Economic Co-operation and Development, which brings forward a 15% global minimum tax. Generally, a company is required to consider the impact of new tax law on realizability of its deferred tax assets (“DTAs”), including determination of whether a change to its valuation allowance amounts is necessary. We made an accounting policy election to disregard the Pillar Two model rules when evaluating DTAs and rather recognize a current period tax expense when incurred.</w:t>
      </w:r>
    </w:p>
    <w:p>
      <w:pPr>
        <w:spacing w:after="0" w:line="200" w:lineRule="exact"/>
        <w:rPr>
          <w:sz w:val="20"/>
          <w:szCs w:val="20"/>
          <w:color w:val="auto"/>
        </w:rPr>
      </w:pPr>
    </w:p>
    <w:p>
      <w:pPr>
        <w:spacing w:after="0" w:line="3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73" w:name="page74"/>
    <w:bookmarkEnd w:id="73"/>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right="6620" w:hanging="2"/>
        <w:spacing w:after="0" w:line="555" w:lineRule="auto"/>
        <w:tabs>
          <w:tab w:leader="none" w:pos="236"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and Agent Benefits Components of Net Periodic Benefit Cost</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tcPr>
          <w:p>
            <w:pPr>
              <w:jc w:val="center"/>
              <w:ind w:left="347"/>
              <w:spacing w:after="0"/>
              <w:rPr>
                <w:sz w:val="20"/>
                <w:szCs w:val="20"/>
                <w:color w:val="auto"/>
              </w:rPr>
            </w:pPr>
            <w:r>
              <w:rPr>
                <w:rFonts w:ascii="Times New Roman" w:cs="Times New Roman" w:eastAsia="Times New Roman" w:hAnsi="Times New Roman"/>
                <w:sz w:val="13"/>
                <w:szCs w:val="13"/>
                <w:b w:val="1"/>
                <w:bCs w:val="1"/>
                <w:color w:val="auto"/>
              </w:rPr>
              <w:t>Other postretirement</w:t>
            </w:r>
          </w:p>
        </w:tc>
        <w:tc>
          <w:tcPr>
            <w:tcW w:w="780" w:type="dxa"/>
            <w:vAlign w:val="bottom"/>
          </w:tcPr>
          <w:p>
            <w:pPr>
              <w:spacing w:after="0"/>
              <w:rPr>
                <w:sz w:val="13"/>
                <w:szCs w:val="13"/>
                <w:color w:val="auto"/>
              </w:rPr>
            </w:pPr>
          </w:p>
        </w:tc>
      </w:tr>
      <w:tr>
        <w:trPr>
          <w:trHeight w:val="170"/>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307"/>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780" w:type="dxa"/>
            <w:vAlign w:val="bottom"/>
            <w:tcBorders>
              <w:bottom w:val="single" w:sz="8" w:color="auto"/>
            </w:tcBorders>
          </w:tcPr>
          <w:p>
            <w:pPr>
              <w:spacing w:after="0"/>
              <w:rPr>
                <w:sz w:val="14"/>
                <w:szCs w:val="14"/>
                <w:color w:val="auto"/>
              </w:rPr>
            </w:pPr>
          </w:p>
        </w:tc>
      </w:tr>
      <w:tr>
        <w:trPr>
          <w:trHeight w:val="134"/>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40" w:type="dxa"/>
            <w:vAlign w:val="bottom"/>
            <w:gridSpan w:val="5"/>
          </w:tcPr>
          <w:p>
            <w:pPr>
              <w:jc w:val="center"/>
              <w:ind w:left="337"/>
              <w:spacing w:after="0" w:line="134"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0" w:type="dxa"/>
            <w:vAlign w:val="bottom"/>
            <w:gridSpan w:val="4"/>
          </w:tcPr>
          <w:p>
            <w:pPr>
              <w:jc w:val="center"/>
              <w:ind w:right="284"/>
              <w:spacing w:after="0" w:line="134"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70"/>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tcBorders>
              <w:bottom w:val="single" w:sz="8" w:color="auto"/>
            </w:tcBorders>
          </w:tcPr>
          <w:p>
            <w:pPr>
              <w:spacing w:after="0"/>
              <w:rPr>
                <w:sz w:val="14"/>
                <w:szCs w:val="14"/>
                <w:color w:val="auto"/>
              </w:rPr>
            </w:pPr>
          </w:p>
        </w:tc>
      </w:tr>
      <w:tr>
        <w:trPr>
          <w:trHeight w:val="148"/>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7"/>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44"/>
              <w:spacing w:after="0" w:line="148" w:lineRule="exact"/>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36"/>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3"/>
          </w:tcPr>
          <w:p>
            <w:pPr>
              <w:jc w:val="center"/>
              <w:ind w:right="42"/>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0"/>
        </w:trPr>
        <w:tc>
          <w:tcPr>
            <w:tcW w:w="3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Service cost</w:t>
            </w:r>
          </w:p>
        </w:tc>
        <w:tc>
          <w:tcPr>
            <w:tcW w:w="820" w:type="dxa"/>
            <w:vAlign w:val="bottom"/>
            <w:gridSpan w:val="2"/>
            <w:shd w:val="clear" w:color="auto" w:fill="CCEEFF"/>
          </w:tcPr>
          <w:p>
            <w:pPr>
              <w:jc w:val="right"/>
              <w:ind w:right="677"/>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79"/>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center"/>
              <w:ind w:right="122"/>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3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cost</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3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return on plan assets</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(42.9)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4"/>
              <w:spacing w:after="0" w:line="180" w:lineRule="exact"/>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of prior service benefit</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3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Recognized net actuarial (gain) loss</w:t>
            </w:r>
          </w:p>
        </w:tc>
        <w:tc>
          <w:tcPr>
            <w:tcW w:w="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2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72"/>
        </w:trPr>
        <w:tc>
          <w:tcPr>
            <w:tcW w:w="36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periodic benefit cost (income)</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center"/>
              <w:ind w:right="222"/>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(0.9)</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 w:right="240" w:firstLine="576"/>
        <w:spacing w:after="0" w:line="259" w:lineRule="auto"/>
        <w:rPr>
          <w:sz w:val="20"/>
          <w:szCs w:val="20"/>
          <w:color w:val="auto"/>
        </w:rPr>
      </w:pPr>
      <w:r>
        <w:rPr>
          <w:rFonts w:ascii="Times New Roman" w:cs="Times New Roman" w:eastAsia="Times New Roman" w:hAnsi="Times New Roman"/>
          <w:sz w:val="16"/>
          <w:szCs w:val="16"/>
          <w:color w:val="auto"/>
        </w:rPr>
        <w:t>The components of net periodic benefit cost including the service cost component are included in operating expenses on the consolidated statements of operations.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Contributions</w:t>
      </w:r>
    </w:p>
    <w:p>
      <w:pPr>
        <w:spacing w:after="0" w:line="190" w:lineRule="exact"/>
        <w:rPr>
          <w:sz w:val="20"/>
          <w:szCs w:val="20"/>
          <w:color w:val="auto"/>
        </w:rPr>
      </w:pPr>
    </w:p>
    <w:p>
      <w:pPr>
        <w:ind w:left="2" w:right="40" w:firstLine="576"/>
        <w:spacing w:after="0" w:line="241" w:lineRule="auto"/>
        <w:rPr>
          <w:sz w:val="20"/>
          <w:szCs w:val="20"/>
          <w:color w:val="auto"/>
        </w:rPr>
      </w:pPr>
      <w:r>
        <w:rPr>
          <w:rFonts w:ascii="Times New Roman" w:cs="Times New Roman" w:eastAsia="Times New Roman" w:hAnsi="Times New Roman"/>
          <w:sz w:val="16"/>
          <w:szCs w:val="16"/>
          <w:color w:val="auto"/>
        </w:rPr>
        <w:t>Our funding policy for our qualified pension plan is to fund the plan annually in an amount at least equal to the minimum annual contribution required under the Employee Retirement Income Security Act (“ERISA”) and, generally, not greater than the maximum amount that can be deducted for U.S. federal income tax purposes. We do not anticipate contributions will be needed to satisfy the minimum funding requirements of ERISA for our qualified plan in 2025; however, it is possible that we may fund both the qualified and nonqualified pension plans in 2025 for a combined total of up to $70.0 million. During the three months ended March 31, 2025, we did not contribute to these plans.</w:t>
      </w:r>
    </w:p>
    <w:p>
      <w:pPr>
        <w:spacing w:after="0" w:line="179" w:lineRule="exact"/>
        <w:rPr>
          <w:sz w:val="20"/>
          <w:szCs w:val="20"/>
          <w:color w:val="auto"/>
        </w:rPr>
      </w:pPr>
    </w:p>
    <w:p>
      <w:pPr>
        <w:ind w:left="2" w:right="5880" w:hanging="2"/>
        <w:spacing w:after="0" w:line="556" w:lineRule="auto"/>
        <w:tabs>
          <w:tab w:leader="none" w:pos="236"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Contingencies, Guarantees and Indemnifications Litigation and Regulatory Contingencies</w:t>
      </w:r>
    </w:p>
    <w:p>
      <w:pPr>
        <w:ind w:left="2" w:right="120" w:firstLine="576"/>
        <w:spacing w:after="0" w:line="243" w:lineRule="auto"/>
        <w:rPr>
          <w:sz w:val="20"/>
          <w:szCs w:val="20"/>
          <w:color w:val="auto"/>
        </w:rPr>
      </w:pPr>
      <w:r>
        <w:rPr>
          <w:rFonts w:ascii="Times New Roman" w:cs="Times New Roman" w:eastAsia="Times New Roman" w:hAnsi="Times New Roman"/>
          <w:sz w:val="16"/>
          <w:szCs w:val="16"/>
          <w:color w:val="auto"/>
        </w:rPr>
        <w:t>We are regularly involved in litigation, both as a defendant and as a plaintiff, but primarily as a defendant. Litigation naming us as a defendant ordinarily arises out of our business operations as a provider of asset management and accumulation products and services, individual life insurance, specialty benefits insurance and our investment activities. Some of the lawsuits may be class actions, or purport to be, and some may include claims for unspecified or substantial punitive and treble damages.</w:t>
      </w:r>
    </w:p>
    <w:p>
      <w:pPr>
        <w:spacing w:after="0" w:line="167" w:lineRule="exact"/>
        <w:rPr>
          <w:sz w:val="20"/>
          <w:szCs w:val="20"/>
          <w:color w:val="auto"/>
        </w:rPr>
      </w:pPr>
    </w:p>
    <w:p>
      <w:pPr>
        <w:ind w:left="2" w:firstLine="576"/>
        <w:spacing w:after="0" w:line="241" w:lineRule="auto"/>
        <w:rPr>
          <w:sz w:val="20"/>
          <w:szCs w:val="20"/>
          <w:color w:val="auto"/>
        </w:rPr>
      </w:pPr>
      <w:r>
        <w:rPr>
          <w:rFonts w:ascii="Times New Roman" w:cs="Times New Roman" w:eastAsia="Times New Roman" w:hAnsi="Times New Roman"/>
          <w:sz w:val="16"/>
          <w:szCs w:val="16"/>
          <w:color w:val="auto"/>
        </w:rPr>
        <w:t>We may discuss such litigation in one of three ways. We accrue a charge to income and disclose legal matters for which the chance of loss is probable and for which the amount of loss can be reasonably estimated. We may disclose contingencies for which the chance of loss is reasonably possible and provide an estimate of the possible loss or range of loss or a statement that such an estimate cannot be made. Finally, we may voluntarily disclose loss contingencies for which the chance of loss is remote in order to provide information concerning matters that potentially expose us to possible losses.</w:t>
      </w:r>
    </w:p>
    <w:p>
      <w:pPr>
        <w:spacing w:after="0" w:line="169" w:lineRule="exact"/>
        <w:rPr>
          <w:sz w:val="20"/>
          <w:szCs w:val="20"/>
          <w:color w:val="auto"/>
        </w:rPr>
      </w:pPr>
    </w:p>
    <w:p>
      <w:pPr>
        <w:ind w:left="2" w:right="220" w:firstLine="576"/>
        <w:spacing w:after="0" w:line="241" w:lineRule="auto"/>
        <w:rPr>
          <w:sz w:val="20"/>
          <w:szCs w:val="20"/>
          <w:color w:val="auto"/>
        </w:rPr>
      </w:pPr>
      <w:r>
        <w:rPr>
          <w:rFonts w:ascii="Times New Roman" w:cs="Times New Roman" w:eastAsia="Times New Roman" w:hAnsi="Times New Roman"/>
          <w:sz w:val="16"/>
          <w:szCs w:val="16"/>
          <w:color w:val="auto"/>
        </w:rPr>
        <w:t>In addition, regulatory bodies such as state insurance departments, the SEC, the Financial Industry Regulatory Authority (“FINRA”), the Department of Labor (“DOL”) and other regulatory agencies in the U.S. and in international locations in which we do business, regularly make inquiries and conduct examinations or investigations concerning our compliance with, among other things, insurance laws, securities laws, ERISA and laws governing the activities of broker- dealers. We receive requests from regulators and other governmental authorities relating to industry issues and may receive additional requests, including subpoenas and interrogatories, in the future.</w:t>
      </w:r>
    </w:p>
    <w:p>
      <w:pPr>
        <w:spacing w:after="0" w:line="36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00" w:firstLine="576"/>
        <w:spacing w:after="0" w:line="241" w:lineRule="auto"/>
        <w:rPr>
          <w:sz w:val="20"/>
          <w:szCs w:val="20"/>
          <w:color w:val="auto"/>
        </w:rPr>
      </w:pPr>
      <w:r>
        <w:rPr>
          <w:rFonts w:ascii="Times New Roman" w:cs="Times New Roman" w:eastAsia="Times New Roman" w:hAnsi="Times New Roman"/>
          <w:sz w:val="16"/>
          <w:szCs w:val="16"/>
          <w:color w:val="auto"/>
        </w:rPr>
        <w:t>While the outcome of any pending or future litigation or regulatory matter cannot be predicted, management does not believe any such matter will have a material adverse effect on our business or financial position. To the extent such matters present a reasonably possible chance of loss, we are generally not able to estimate the possible loss or range of loss associated therewith. The outcome of such matters is always uncertain and unforeseen results can occur. It is possible that such outcomes could require us to pay damages or make other expenditures or establish accruals in amounts that we could not estimate as of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90"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In the normal course of business, we have provided guarantees to third parties primarily related to former subsidiaries and joint ventures. The terms of these agreements range in duration and often are not explicitly defined. The maximum exposure under these agreements as of March 31, 2025, was approximately $77.0 million. At inception, the fair value of such guarantees was insignificant. In addition, we believe the likelihood is remote that material payments will be required. Therefore, any liability accrued within our consolidated statements of financial position is insignificant. Should we be required to perform under these guarantees, we generally could recover a portion of the loss from third parties through recourse provisions included in agreements with such parties, the sale of assets held as collateral that can be liquidated in the event performance is required under the guarantees or other recourse generally available to us; therefore, such guarantees would not result in a material adverse effect on our business or financial position. While the likelihood is remote, such outcomes could materially affect net income in a particular quarter or annual period. Furthermore, in connection with our contingent funding agreements, we are required to purchase any principal and interest strips of U.S. Treasury securities that are due and not paid from the associated unconsolidated trusts. The maximum exposure under these agreements as of March 31, 2025, was $850.0 million. See Note 12, Long-Term Debt, for further details.</w:t>
      </w:r>
    </w:p>
    <w:p>
      <w:pPr>
        <w:spacing w:after="0" w:line="174" w:lineRule="exact"/>
        <w:rPr>
          <w:sz w:val="20"/>
          <w:szCs w:val="20"/>
          <w:color w:val="auto"/>
        </w:rPr>
      </w:pPr>
    </w:p>
    <w:p>
      <w:pPr>
        <w:ind w:right="180" w:firstLine="576"/>
        <w:spacing w:after="0" w:line="247" w:lineRule="auto"/>
        <w:rPr>
          <w:sz w:val="20"/>
          <w:szCs w:val="20"/>
          <w:color w:val="auto"/>
        </w:rPr>
      </w:pPr>
      <w:r>
        <w:rPr>
          <w:rFonts w:ascii="Times New Roman" w:cs="Times New Roman" w:eastAsia="Times New Roman" w:hAnsi="Times New Roman"/>
          <w:sz w:val="16"/>
          <w:szCs w:val="16"/>
          <w:color w:val="auto"/>
        </w:rPr>
        <w:t>We manage mandatory privatized social security funds in Chile. By regulation, we have a required minimum guarantee on the funds’ relative return. Because the guarantee has no limitation with respect to duration or amount, the maximum exposure of the guarantee in the future is indeterminable.</w:t>
      </w:r>
    </w:p>
    <w:p>
      <w:pPr>
        <w:spacing w:after="0" w:line="164" w:lineRule="exact"/>
        <w:rPr>
          <w:sz w:val="20"/>
          <w:szCs w:val="20"/>
          <w:color w:val="auto"/>
        </w:rPr>
      </w:pPr>
    </w:p>
    <w:p>
      <w:pPr>
        <w:ind w:right="80" w:firstLine="576"/>
        <w:spacing w:after="0" w:line="277" w:lineRule="auto"/>
        <w:rPr>
          <w:sz w:val="20"/>
          <w:szCs w:val="20"/>
          <w:color w:val="auto"/>
        </w:rPr>
      </w:pPr>
      <w:r>
        <w:rPr>
          <w:rFonts w:ascii="Times New Roman" w:cs="Times New Roman" w:eastAsia="Times New Roman" w:hAnsi="Times New Roman"/>
          <w:sz w:val="14"/>
          <w:szCs w:val="14"/>
          <w:color w:val="auto"/>
        </w:rPr>
        <w:t>We are also subject to various other indemnification obligations issued in conjunction with divestitures, acquisitions, financing and reinsurance transactions whose terms range in duration and often are not explicitly defined. Certain portions of these indemnifications may be capped, while other portions are not subject to such limitations; therefore, the overall maximum amount of the obligation under the indemnifications cannot be reasonably estimated. At inception, the fair value of such indemnifications was insignificant. In addition, we believe the likelihood is remote that material payments will be required. Therefore, any liability accrued within our consolidated statements of financial position is insignificant. While we are unable to estimate with certainty the ultimate legal and financial liability with respect to these indemnifications, we believe that performance under these indemnifications would not result in a material adverse effect on our business or financial position. While the likelihood is remote, performance under these indemnifications could materially affect net income in a particular quarter or annual period.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Stockholders’ Equity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Dividends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7"/>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declared per common share</w:t>
            </w: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0.75</w:t>
            </w:r>
          </w:p>
        </w:tc>
        <w:tc>
          <w:tcPr>
            <w:tcW w:w="1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Outstanding Common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Borders>
              <w:bottom w:val="single" w:sz="8" w:color="auto"/>
            </w:tcBorders>
            <w:gridSpan w:val="6"/>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07"/>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4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226,225,161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236,438,294</w:t>
            </w:r>
          </w:p>
        </w:tc>
        <w:tc>
          <w:tcPr>
            <w:tcW w:w="0" w:type="dxa"/>
            <w:vAlign w:val="bottom"/>
          </w:tcPr>
          <w:p>
            <w:pPr>
              <w:spacing w:after="0"/>
              <w:rPr>
                <w:sz w:val="1"/>
                <w:szCs w:val="1"/>
                <w:color w:val="auto"/>
              </w:rPr>
            </w:pPr>
          </w:p>
        </w:tc>
      </w:tr>
      <w:tr>
        <w:trPr>
          <w:trHeight w:val="180"/>
        </w:trPr>
        <w:tc>
          <w:tcPr>
            <w:tcW w:w="6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Shares issued</w:t>
            </w:r>
          </w:p>
        </w:tc>
        <w:tc>
          <w:tcPr>
            <w:tcW w:w="180" w:type="dxa"/>
            <w:vAlign w:val="bottom"/>
          </w:tcPr>
          <w:p>
            <w:pPr>
              <w:spacing w:after="0"/>
              <w:rPr>
                <w:sz w:val="15"/>
                <w:szCs w:val="15"/>
                <w:color w:val="auto"/>
              </w:rPr>
            </w:pPr>
          </w:p>
        </w:tc>
        <w:tc>
          <w:tcPr>
            <w:tcW w:w="13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1,635,250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1,515,728</w:t>
            </w: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Treasury stock acquired</w:t>
            </w:r>
          </w:p>
        </w:tc>
        <w:tc>
          <w:tcPr>
            <w:tcW w:w="180" w:type="dxa"/>
            <w:vAlign w:val="bottom"/>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(2,888,696)</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(2,921,241)</w:t>
            </w:r>
          </w:p>
        </w:tc>
        <w:tc>
          <w:tcPr>
            <w:tcW w:w="0" w:type="dxa"/>
            <w:vAlign w:val="bottom"/>
          </w:tcPr>
          <w:p>
            <w:pPr>
              <w:spacing w:after="0"/>
              <w:rPr>
                <w:sz w:val="1"/>
                <w:szCs w:val="1"/>
                <w:color w:val="auto"/>
              </w:rPr>
            </w:pPr>
          </w:p>
        </w:tc>
      </w:tr>
      <w:tr>
        <w:trPr>
          <w:trHeight w:val="172"/>
        </w:trPr>
        <w:tc>
          <w:tcPr>
            <w:tcW w:w="63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224,971,715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235,032,781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In January 2022, our Board of Directors (“Board”) authorized a $1.6 billion increase to the June 2021 share repurchase program authorization, which was completed in April 2024. In February 2024, our Board authorized a share repurchase program of up to $1.5 billion of our outstanding common stock, which has no expiration date. In February 2025, our Board authorized a share repurchase program of up to $1.5 billion of our outstanding common stock, which has no expiration date. Shares repurchased under these programs are accounted for as treasury stock, carried at cost and reflected as a reduction to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43"/>
              <w:spacing w:after="0" w:line="148" w:lineRule="exact"/>
              <w:rPr>
                <w:sz w:val="20"/>
                <w:szCs w:val="20"/>
                <w:color w:val="auto"/>
              </w:rPr>
            </w:pPr>
            <w:r>
              <w:rPr>
                <w:rFonts w:ascii="Times New Roman" w:cs="Times New Roman" w:eastAsia="Times New Roman" w:hAnsi="Times New Roman"/>
                <w:sz w:val="13"/>
                <w:szCs w:val="13"/>
                <w:b w:val="1"/>
                <w:bCs w:val="1"/>
                <w:color w:val="auto"/>
              </w:rPr>
              <w:t>Pre-Tax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Tax</w:t>
            </w: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8" w:lineRule="exact"/>
              <w:rPr>
                <w:sz w:val="20"/>
                <w:szCs w:val="20"/>
                <w:color w:val="auto"/>
              </w:rPr>
            </w:pPr>
            <w:r>
              <w:rPr>
                <w:rFonts w:ascii="Times New Roman" w:cs="Times New Roman" w:eastAsia="Times New Roman" w:hAnsi="Times New Roman"/>
                <w:sz w:val="13"/>
                <w:szCs w:val="13"/>
                <w:b w:val="1"/>
                <w:bCs w:val="1"/>
                <w:color w:val="auto"/>
              </w:rPr>
              <w:t>After-Tax</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3"/>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on available-for-sale securities during the period</w:t>
            </w:r>
          </w:p>
        </w:tc>
        <w:tc>
          <w:tcPr>
            <w:tcW w:w="1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666.8</w:t>
            </w:r>
          </w:p>
        </w:tc>
        <w:tc>
          <w:tcPr>
            <w:tcW w:w="3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525.9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losses included in net income (1)</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(13.1)</w:t>
            </w: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amortization patterns</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policyholder liabilities</w:t>
            </w:r>
          </w:p>
        </w:tc>
        <w:tc>
          <w:tcPr>
            <w:tcW w:w="1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18.3</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unrealized gains on available-for-sale securities</w:t>
            </w:r>
          </w:p>
        </w:tc>
        <w:tc>
          <w:tcPr>
            <w:tcW w:w="1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747.2</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(157.8)</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589.4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on derivative instruments during the period</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gains included in net income (2)</w:t>
            </w:r>
          </w:p>
        </w:tc>
        <w:tc>
          <w:tcPr>
            <w:tcW w:w="1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unrealized gains on derivative instruments</w:t>
            </w:r>
          </w:p>
        </w:tc>
        <w:tc>
          <w:tcPr>
            <w:tcW w:w="1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17.9</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Liability for future policy benefits discount rate remeasurement loss (3)</w:t>
            </w:r>
          </w:p>
        </w:tc>
        <w:tc>
          <w:tcPr>
            <w:tcW w:w="1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(312.4)</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62.6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(249.8)</w:t>
            </w: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Market risk benefit nonperformance risk remeasurement gain (4)</w:t>
            </w:r>
          </w:p>
        </w:tc>
        <w:tc>
          <w:tcPr>
            <w:tcW w:w="1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74.1</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(0.7)</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73.4</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amounts included in net periodic benefit cost (5)</w:t>
            </w:r>
          </w:p>
        </w:tc>
        <w:tc>
          <w:tcPr>
            <w:tcW w:w="16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(0.9)</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unrecognized postretirement benefit obligation</w:t>
            </w: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1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533.3</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(101.2)</w:t>
            </w:r>
          </w:p>
        </w:tc>
        <w:tc>
          <w:tcPr>
            <w:tcW w:w="20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20" w:type="dxa"/>
            <w:vAlign w:val="bottom"/>
            <w:vMerge w:val="restart"/>
          </w:tcPr>
          <w:p>
            <w:pPr>
              <w:jc w:val="right"/>
              <w:ind w:right="1322"/>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5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76" w:name="page77"/>
    <w:bookmarkEnd w:id="76"/>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r>
      <w:tr>
        <w:trPr>
          <w:trHeight w:val="148"/>
        </w:trPr>
        <w:tc>
          <w:tcPr>
            <w:tcW w:w="2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Pre-Tax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Tax</w:t>
            </w:r>
          </w:p>
        </w:tc>
        <w:tc>
          <w:tcPr>
            <w:tcW w:w="140" w:type="dxa"/>
            <w:vAlign w:val="bottom"/>
          </w:tcPr>
          <w:p>
            <w:pPr>
              <w:spacing w:after="0"/>
              <w:rPr>
                <w:sz w:val="12"/>
                <w:szCs w:val="12"/>
                <w:color w:val="auto"/>
              </w:rPr>
            </w:pPr>
          </w:p>
        </w:tc>
        <w:tc>
          <w:tcPr>
            <w:tcW w:w="800" w:type="dxa"/>
            <w:vAlign w:val="bottom"/>
          </w:tcPr>
          <w:p>
            <w:pPr>
              <w:jc w:val="right"/>
              <w:ind w:right="103"/>
              <w:spacing w:after="0" w:line="148" w:lineRule="exact"/>
              <w:rPr>
                <w:sz w:val="20"/>
                <w:szCs w:val="20"/>
                <w:color w:val="auto"/>
              </w:rPr>
            </w:pPr>
            <w:r>
              <w:rPr>
                <w:rFonts w:ascii="Times New Roman" w:cs="Times New Roman" w:eastAsia="Times New Roman" w:hAnsi="Times New Roman"/>
                <w:sz w:val="13"/>
                <w:szCs w:val="13"/>
                <w:b w:val="1"/>
                <w:bCs w:val="1"/>
                <w:color w:val="auto"/>
              </w:rPr>
              <w:t>After-Tax</w:t>
            </w:r>
          </w:p>
        </w:tc>
      </w:tr>
      <w:tr>
        <w:trPr>
          <w:trHeight w:val="136"/>
        </w:trPr>
        <w:tc>
          <w:tcPr>
            <w:tcW w:w="23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3"/>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losses on available-for-sale securities during the period</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(507.7)</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(399.4)</w:t>
            </w:r>
          </w:p>
        </w:tc>
      </w:tr>
      <w:tr>
        <w:trPr>
          <w:trHeight w:val="180"/>
        </w:trPr>
        <w:tc>
          <w:tcPr>
            <w:tcW w:w="6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losses included in net income (1)</w:t>
            </w: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34.5</w:t>
            </w: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amortization patterns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61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policyholder liabilities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72"/>
        </w:trPr>
        <w:tc>
          <w:tcPr>
            <w:tcW w:w="61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unrealized losses on available-for-sale securities</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(358.6)</w:t>
            </w:r>
          </w:p>
        </w:tc>
      </w:tr>
      <w:tr>
        <w:trPr>
          <w:trHeight w:val="172"/>
        </w:trPr>
        <w:tc>
          <w:tcPr>
            <w:tcW w:w="2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on derivative instruments during the period</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18.3</w:t>
            </w:r>
          </w:p>
        </w:tc>
      </w:tr>
      <w:tr>
        <w:trPr>
          <w:trHeight w:val="180"/>
        </w:trPr>
        <w:tc>
          <w:tcPr>
            <w:tcW w:w="6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gains included in net income (2)</w:t>
            </w: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for assumed changes in amortization patterns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72"/>
        </w:trPr>
        <w:tc>
          <w:tcPr>
            <w:tcW w:w="61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Net unrealized gains on derivative instruments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w:t>
            </w:r>
          </w:p>
        </w:tc>
        <w:tc>
          <w:tcPr>
            <w:tcW w:w="2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17.5</w:t>
            </w:r>
          </w:p>
        </w:tc>
      </w:tr>
      <w:tr>
        <w:trPr>
          <w:trHeight w:val="172"/>
        </w:trPr>
        <w:tc>
          <w:tcPr>
            <w:tcW w:w="2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72"/>
        </w:trPr>
        <w:tc>
          <w:tcPr>
            <w:tcW w:w="61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Liability for future policy benefits discount rate remeasurement gain (3)</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710.2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(155.5)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554.7</w:t>
            </w:r>
          </w:p>
        </w:tc>
      </w:tr>
      <w:tr>
        <w:trPr>
          <w:trHeight w:val="172"/>
        </w:trPr>
        <w:tc>
          <w:tcPr>
            <w:tcW w:w="2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72"/>
        </w:trPr>
        <w:tc>
          <w:tcPr>
            <w:tcW w:w="61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Market risk benefit nonperformance risk remeasurement loss (4)</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(8.7)</w:t>
            </w:r>
          </w:p>
        </w:tc>
      </w:tr>
      <w:tr>
        <w:trPr>
          <w:trHeight w:val="172"/>
        </w:trPr>
        <w:tc>
          <w:tcPr>
            <w:tcW w:w="2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r>
      <w:tr>
        <w:trPr>
          <w:trHeight w:val="172"/>
        </w:trPr>
        <w:tc>
          <w:tcPr>
            <w:tcW w:w="61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(116.7)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(121.0)</w:t>
            </w:r>
          </w:p>
        </w:tc>
      </w:tr>
      <w:tr>
        <w:trPr>
          <w:trHeight w:val="172"/>
        </w:trPr>
        <w:tc>
          <w:tcPr>
            <w:tcW w:w="232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61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Amortization of amounts included in net periodic benefit cost (5)</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72"/>
        </w:trPr>
        <w:tc>
          <w:tcPr>
            <w:tcW w:w="61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unrecognized postretirement benefit obligation</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w:t>
            </w:r>
          </w:p>
        </w:tc>
      </w:tr>
      <w:tr>
        <w:trPr>
          <w:trHeight w:val="208"/>
        </w:trPr>
        <w:tc>
          <w:tcPr>
            <w:tcW w:w="2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0"/>
        </w:trPr>
        <w:tc>
          <w:tcPr>
            <w:tcW w:w="6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153.2</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(65.8)</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87.4</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3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9" w:lineRule="exact"/>
        <w:rPr>
          <w:sz w:val="20"/>
          <w:szCs w:val="20"/>
          <w:color w:val="auto"/>
        </w:rPr>
      </w:pPr>
    </w:p>
    <w:p>
      <w:pPr>
        <w:ind w:left="282" w:right="320" w:hanging="282"/>
        <w:spacing w:after="0" w:line="246" w:lineRule="auto"/>
        <w:tabs>
          <w:tab w:leader="none" w:pos="2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reclassification adjustments relating to available-for-sale securities are reported in net realized capital gains (losses) and net realized capital gains (losses) on funds withheld assets on the consolidated statements of operations.</w:t>
      </w:r>
    </w:p>
    <w:p>
      <w:pPr>
        <w:ind w:left="282" w:right="280" w:hanging="282"/>
        <w:spacing w:after="0" w:line="234" w:lineRule="auto"/>
        <w:tabs>
          <w:tab w:leader="none" w:pos="2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5, Derivative Financial Instruments, under the caption “Effect of Fair Value and Cash Flow Hedges on Consolidated Statements of Operations” for further details.</w:t>
      </w:r>
    </w:p>
    <w:p>
      <w:pPr>
        <w:spacing w:after="0" w:line="1" w:lineRule="exact"/>
        <w:rPr>
          <w:rFonts w:ascii="Times New Roman" w:cs="Times New Roman" w:eastAsia="Times New Roman" w:hAnsi="Times New Roman"/>
          <w:sz w:val="16"/>
          <w:szCs w:val="16"/>
          <w:color w:val="auto"/>
        </w:rPr>
      </w:pPr>
    </w:p>
    <w:p>
      <w:pPr>
        <w:ind w:left="282" w:right="180" w:hanging="282"/>
        <w:spacing w:after="0" w:line="234" w:lineRule="auto"/>
        <w:tabs>
          <w:tab w:leader="none" w:pos="2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discount rate remeasurement gain (loss) associated with the LFPB and the associated reinsurance recoverable. See Note 9, Future Policy Benefits and Claims, under the caption “Liability for Future Policy Benefits” for further details.</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10, Market Risk Benefits, for further details.</w:t>
      </w:r>
    </w:p>
    <w:p>
      <w:pPr>
        <w:jc w:val="both"/>
        <w:ind w:left="282" w:right="400" w:hanging="282"/>
        <w:spacing w:after="0" w:line="237" w:lineRule="auto"/>
        <w:tabs>
          <w:tab w:leader="none" w:pos="2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is comprised of amortization of prior service cost (benefit) and recognized net actuarial (gain) loss, which is reported in operating expenses on the consolidated statements of operations. See Note 14, Employee and Agent Benefits, under the caption “Components of Net Periodic Benefit Cost” for further details.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77" w:name="page78"/>
    <w:bookmarkEnd w:id="7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8"/>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MRB</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LFPB</w:t>
            </w:r>
          </w:p>
        </w:tc>
        <w:tc>
          <w:tcPr>
            <w:tcW w:w="80" w:type="dxa"/>
            <w:vAlign w:val="bottom"/>
          </w:tcPr>
          <w:p>
            <w:pPr>
              <w:spacing w:after="0"/>
              <w:rPr>
                <w:sz w:val="13"/>
                <w:szCs w:val="13"/>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nonperformance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6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Unrecognized</w:t>
            </w: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losses on</w:t>
            </w:r>
          </w:p>
        </w:tc>
        <w:tc>
          <w:tcPr>
            <w:tcW w:w="8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gains (losses)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risk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6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postretirement</w:t>
            </w: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on derivative</w:t>
            </w:r>
          </w:p>
        </w:tc>
        <w:tc>
          <w:tcPr>
            <w:tcW w:w="60" w:type="dxa"/>
            <w:vAlign w:val="bottom"/>
          </w:tcPr>
          <w:p>
            <w:pPr>
              <w:spacing w:after="0"/>
              <w:rPr>
                <w:sz w:val="13"/>
                <w:szCs w:val="13"/>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remeasurement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remeasurement</w:t>
            </w:r>
          </w:p>
        </w:tc>
        <w:tc>
          <w:tcPr>
            <w:tcW w:w="6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benefit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securities (1)</w:t>
            </w: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gain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as of January 1, 2024</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(4,014.8)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(1,498.0)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comprehensive income during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period, net of adjustments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(393.1)</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(119.2)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reclassified from AOCI</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(358.6)</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554.7</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(119.2)</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Balances as of March 31, 2024</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(4,373.4)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15.4</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982.9</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(1,617.2)</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(248.2)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(5,256.1)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as of January 1, 2025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(4,692.9)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51.8</w:t>
            </w: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1,438.2</w:t>
            </w: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(1,785.9)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(221.0)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(5,224.8)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comprehensive income during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540.0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(249.8)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period, net of adjustments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reclassified from AOCI</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589.4</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(249.8)</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80.2</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Balances as of March 31, 2025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(4,103.5)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65.9</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1,188.4</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(1,705.7)</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(218.1)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(4,785.9)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82" w:hanging="282"/>
        <w:spacing w:after="0" w:line="286" w:lineRule="auto"/>
        <w:tabs>
          <w:tab w:leader="none" w:pos="282"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unrealized losses on available-for-sale securities for which an allowance for credit loss has been recorded were $4.0 million and $2.5 million as of March 31, 2025 and 2024, respectively.</w:t>
      </w:r>
    </w:p>
    <w:p>
      <w:pPr>
        <w:spacing w:after="0" w:line="1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190" w:lineRule="exact"/>
        <w:rPr>
          <w:sz w:val="20"/>
          <w:szCs w:val="20"/>
          <w:color w:val="auto"/>
        </w:rPr>
      </w:pPr>
    </w:p>
    <w:p>
      <w:pPr>
        <w:ind w:left="2" w:right="220" w:firstLine="576"/>
        <w:spacing w:after="0" w:line="247" w:lineRule="auto"/>
        <w:rPr>
          <w:sz w:val="20"/>
          <w:szCs w:val="20"/>
          <w:color w:val="auto"/>
        </w:rPr>
      </w:pPr>
      <w:r>
        <w:rPr>
          <w:rFonts w:ascii="Times New Roman" w:cs="Times New Roman" w:eastAsia="Times New Roman" w:hAnsi="Times New Roman"/>
          <w:sz w:val="16"/>
          <w:szCs w:val="16"/>
          <w:color w:val="auto"/>
        </w:rPr>
        <w:t>Interests held by unaffiliated parties in consolidated entities are reflected in noncontrolling interest, which represents the noncontrolling partners’ share of the underlying net assets of our consolidated subsidiaries. Noncontrolling interest that is not redeemable is reported in the equity section of the consolidated statements of financial position.</w:t>
      </w:r>
    </w:p>
    <w:p>
      <w:pPr>
        <w:spacing w:after="0" w:line="164" w:lineRule="exact"/>
        <w:rPr>
          <w:sz w:val="20"/>
          <w:szCs w:val="20"/>
          <w:color w:val="auto"/>
        </w:rPr>
      </w:pPr>
    </w:p>
    <w:p>
      <w:pPr>
        <w:ind w:left="2" w:right="140" w:firstLine="576"/>
        <w:spacing w:after="0" w:line="241" w:lineRule="auto"/>
        <w:rPr>
          <w:sz w:val="20"/>
          <w:szCs w:val="20"/>
          <w:color w:val="auto"/>
        </w:rPr>
      </w:pPr>
      <w:r>
        <w:rPr>
          <w:rFonts w:ascii="Times New Roman" w:cs="Times New Roman" w:eastAsia="Times New Roman" w:hAnsi="Times New Roman"/>
          <w:sz w:val="16"/>
          <w:szCs w:val="16"/>
          <w:color w:val="auto"/>
        </w:rPr>
        <w:t>The noncontrolling interest holders in certain of our consolidated entities maintain an equity interest that is redeemable at the option of the holder, which may be exercised on varying dates. Since redemption of the noncontrolling interest is outside of our control, this interest is excluded from stockholders’ equity and reported separately as redeemable noncontrolling interest on the consolidated statements of financial position. Our redeemable noncontrolling interest primarily relates to consolidated sponsored investment funds for which interests are redeemed at fair value from the net assets of the funds.</w:t>
      </w:r>
    </w:p>
    <w:p>
      <w:pPr>
        <w:spacing w:after="0" w:line="169" w:lineRule="exact"/>
        <w:rPr>
          <w:sz w:val="20"/>
          <w:szCs w:val="20"/>
          <w:color w:val="auto"/>
        </w:rPr>
      </w:pPr>
    </w:p>
    <w:p>
      <w:pPr>
        <w:ind w:left="2" w:right="40" w:firstLine="576"/>
        <w:spacing w:after="0" w:line="238" w:lineRule="auto"/>
        <w:rPr>
          <w:sz w:val="20"/>
          <w:szCs w:val="20"/>
          <w:color w:val="auto"/>
        </w:rPr>
      </w:pPr>
      <w:r>
        <w:rPr>
          <w:rFonts w:ascii="Times New Roman" w:cs="Times New Roman" w:eastAsia="Times New Roman" w:hAnsi="Times New Roman"/>
          <w:sz w:val="16"/>
          <w:szCs w:val="16"/>
          <w:color w:val="auto"/>
        </w:rPr>
        <w:t>For our redeemable noncontrolling interest related to other consolidated subsidiaries, redemptions are required to be purchased at fair value or a value based on a formula that management intended to reasonably approximate fair value based on a fixed multiple of earnings over a measurement period. The carrying value of the redeemable noncontrolling interest is compared to the redemption value at each reporting period. Any adjustments to the carrying amount of the redeemable noncontrolling interest for changes in redemption value prior to exercise of the redemption option are determined after the attribution of net income or loss of the subsidiary and are recognized in the redemption value as they occur. Adjustments to the carrying value of redeemable noncontrolling interest result in adjustments to additional paid-in capital and/or retained earnings. Adjustments are recorded in retained earnings to the extent the redemption value of the redeemable noncontrolling interest exceeds its fair value and will impact the numerator in our earnings per share calculations. All other adjustments to the redeemable noncontrolling interest are recorded in additional paid-in capital.</w:t>
      </w:r>
    </w:p>
    <w:p>
      <w:pPr>
        <w:spacing w:after="0" w:line="36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7" w:right="1260" w:bottom="1440" w:gutter="0" w:footer="0" w:header="0"/>
        </w:sectPr>
      </w:pPr>
    </w:p>
    <w:bookmarkStart w:id="78" w:name="page79"/>
    <w:bookmarkEnd w:id="7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Following is a reconciliation of the changes in the redeemable noncontrolling interest:</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400" w:type="dxa"/>
            <w:vAlign w:val="bottom"/>
            <w:tcBorders>
              <w:bottom w:val="single" w:sz="8" w:color="auto"/>
            </w:tcBorders>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Borders>
              <w:bottom w:val="single" w:sz="8" w:color="auto"/>
            </w:tcBorders>
          </w:tcPr>
          <w:p>
            <w:pPr>
              <w:jc w:val="right"/>
              <w:ind w:right="8"/>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68"/>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2"/>
                <w:szCs w:val="12"/>
                <w:color w:val="auto"/>
              </w:rPr>
            </w:pPr>
          </w:p>
        </w:tc>
      </w:tr>
      <w:tr>
        <w:trPr>
          <w:trHeight w:val="136"/>
        </w:trPr>
        <w:tc>
          <w:tcPr>
            <w:tcW w:w="23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00" w:type="dxa"/>
            <w:vAlign w:val="bottom"/>
            <w:gridSpan w:val="3"/>
          </w:tcPr>
          <w:p>
            <w:pPr>
              <w:jc w:val="right"/>
              <w:ind w:right="668"/>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400" w:type="dxa"/>
            <w:vAlign w:val="bottom"/>
          </w:tcPr>
          <w:p>
            <w:pPr>
              <w:spacing w:after="0"/>
              <w:rPr>
                <w:sz w:val="11"/>
                <w:szCs w:val="11"/>
                <w:color w:val="auto"/>
              </w:rPr>
            </w:pPr>
          </w:p>
        </w:tc>
      </w:tr>
      <w:tr>
        <w:trPr>
          <w:trHeight w:val="180"/>
        </w:trPr>
        <w:tc>
          <w:tcPr>
            <w:tcW w:w="6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period</w:t>
            </w:r>
          </w:p>
        </w:tc>
        <w:tc>
          <w:tcPr>
            <w:tcW w:w="880" w:type="dxa"/>
            <w:vAlign w:val="bottom"/>
            <w:shd w:val="clear" w:color="auto" w:fill="CCEEFF"/>
          </w:tcPr>
          <w:p>
            <w:pPr>
              <w:jc w:val="right"/>
              <w:ind w:right="728"/>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337.7</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8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248.9</w:t>
            </w:r>
          </w:p>
        </w:tc>
      </w:tr>
      <w:tr>
        <w:trPr>
          <w:trHeight w:val="180"/>
        </w:trPr>
        <w:tc>
          <w:tcPr>
            <w:tcW w:w="64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redeemable noncontrolling interest</w:t>
            </w:r>
          </w:p>
        </w:tc>
        <w:tc>
          <w:tcPr>
            <w:tcW w:w="8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6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 of deconsolidated entities (1)</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4"/>
              <w:spacing w:after="0" w:line="180" w:lineRule="exact"/>
              <w:rPr>
                <w:sz w:val="20"/>
                <w:szCs w:val="20"/>
                <w:color w:val="auto"/>
              </w:rPr>
            </w:pPr>
            <w:r>
              <w:rPr>
                <w:rFonts w:ascii="Times New Roman" w:cs="Times New Roman" w:eastAsia="Times New Roman" w:hAnsi="Times New Roman"/>
                <w:sz w:val="16"/>
                <w:szCs w:val="16"/>
                <w:b w:val="1"/>
                <w:bCs w:val="1"/>
                <w:color w:val="auto"/>
              </w:rPr>
              <w:t>(12.5)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(90.0)</w:t>
            </w:r>
          </w:p>
        </w:tc>
      </w:tr>
      <w:tr>
        <w:trPr>
          <w:trHeight w:val="180"/>
        </w:trPr>
        <w:tc>
          <w:tcPr>
            <w:tcW w:w="64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Contributions from redeemable noncontrolling interest</w:t>
            </w:r>
          </w:p>
        </w:tc>
        <w:tc>
          <w:tcPr>
            <w:tcW w:w="8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226.2</w:t>
            </w:r>
          </w:p>
        </w:tc>
      </w:tr>
      <w:tr>
        <w:trPr>
          <w:trHeight w:val="180"/>
        </w:trPr>
        <w:tc>
          <w:tcPr>
            <w:tcW w:w="6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Distributions to redeemable noncontrolling interest</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74"/>
              <w:spacing w:after="0" w:line="180" w:lineRule="exact"/>
              <w:rPr>
                <w:sz w:val="20"/>
                <w:szCs w:val="20"/>
                <w:color w:val="auto"/>
              </w:rPr>
            </w:pPr>
            <w:r>
              <w:rPr>
                <w:rFonts w:ascii="Times New Roman" w:cs="Times New Roman" w:eastAsia="Times New Roman" w:hAnsi="Times New Roman"/>
                <w:sz w:val="16"/>
                <w:szCs w:val="16"/>
                <w:b w:val="1"/>
                <w:bCs w:val="1"/>
                <w:color w:val="auto"/>
              </w:rPr>
              <w:t>(31.8)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(14.2)</w:t>
            </w:r>
          </w:p>
        </w:tc>
      </w:tr>
      <w:tr>
        <w:trPr>
          <w:trHeight w:val="180"/>
        </w:trPr>
        <w:tc>
          <w:tcPr>
            <w:tcW w:w="64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Purchase of subsidiary shares from redeemable noncontrolling interest</w:t>
            </w:r>
          </w:p>
        </w:tc>
        <w:tc>
          <w:tcPr>
            <w:tcW w:w="88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redemption value of redeemable noncontrolling interest</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1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64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loss attributable to redeemable noncontrolling interest</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72"/>
        </w:trPr>
        <w:tc>
          <w:tcPr>
            <w:tcW w:w="64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period</w:t>
            </w:r>
          </w:p>
        </w:tc>
        <w:tc>
          <w:tcPr>
            <w:tcW w:w="880" w:type="dxa"/>
            <w:vAlign w:val="bottom"/>
            <w:tcBorders>
              <w:bottom w:val="single" w:sz="8" w:color="auto"/>
            </w:tcBorders>
            <w:shd w:val="clear" w:color="auto" w:fill="CCEEFF"/>
          </w:tcPr>
          <w:p>
            <w:pPr>
              <w:jc w:val="right"/>
              <w:ind w:right="728"/>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326.7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78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4"/>
              </w:rPr>
              <w:t>370.8</w:t>
            </w:r>
          </w:p>
        </w:tc>
      </w:tr>
      <w:tr>
        <w:trPr>
          <w:trHeight w:val="20"/>
        </w:trPr>
        <w:tc>
          <w:tcPr>
            <w:tcW w:w="2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r>
    </w:tbl>
    <w:p>
      <w:pPr>
        <w:spacing w:after="0" w:line="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  We deconsolidated certain sponsored investment funds as they no longer met the requirements for consolidation.</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17. Fair Value Measurements</w:t>
      </w:r>
    </w:p>
    <w:p>
      <w:pPr>
        <w:spacing w:after="0" w:line="190" w:lineRule="exact"/>
        <w:rPr>
          <w:sz w:val="20"/>
          <w:szCs w:val="20"/>
          <w:color w:val="auto"/>
        </w:rPr>
      </w:pPr>
    </w:p>
    <w:p>
      <w:pPr>
        <w:ind w:left="2" w:right="220" w:firstLine="576"/>
        <w:spacing w:after="0" w:line="247" w:lineRule="auto"/>
        <w:rPr>
          <w:sz w:val="20"/>
          <w:szCs w:val="20"/>
          <w:color w:val="auto"/>
        </w:rPr>
      </w:pPr>
      <w:r>
        <w:rPr>
          <w:rFonts w:ascii="Times New Roman" w:cs="Times New Roman" w:eastAsia="Times New Roman" w:hAnsi="Times New Roman"/>
          <w:sz w:val="16"/>
          <w:szCs w:val="16"/>
          <w:color w:val="auto"/>
        </w:rPr>
        <w:t>We use fair value measurements to record fair value of certain assets and liabilities and to estimate fair value of financial instruments not recorded at fair value but required to be disclosed at fair value. Certain financial instruments, particularly policyholder liabilities other than investment contracts, are excluded from these fair value disclosure requirements.</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Valuation Hierarchy</w:t>
      </w:r>
    </w:p>
    <w:p>
      <w:pPr>
        <w:spacing w:after="0" w:line="190" w:lineRule="exact"/>
        <w:rPr>
          <w:sz w:val="20"/>
          <w:szCs w:val="20"/>
          <w:color w:val="auto"/>
        </w:rPr>
      </w:pPr>
    </w:p>
    <w:p>
      <w:pPr>
        <w:ind w:left="2" w:right="160" w:firstLine="576"/>
        <w:spacing w:after="0" w:line="28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(an exit price). The fair value hierarchy prioritizes the inputs to valuation techniques used to measure fair value into three levels. The level in the fair value hierarchy within which the fair value measurement in its entirety falls is determined based on the lowest level input that is significant to the fair value measurement in its entirety considering factors specific to the asset or liability.</w:t>
      </w:r>
    </w:p>
    <w:p>
      <w:pPr>
        <w:spacing w:after="0" w:line="135" w:lineRule="exact"/>
        <w:rPr>
          <w:sz w:val="20"/>
          <w:szCs w:val="20"/>
          <w:color w:val="auto"/>
        </w:rPr>
      </w:pPr>
    </w:p>
    <w:p>
      <w:pPr>
        <w:ind w:left="282" w:hanging="282"/>
        <w:spacing w:after="0"/>
        <w:tabs>
          <w:tab w:leader="none" w:pos="28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Level 1 </w:t>
      </w:r>
      <w:r>
        <w:rPr>
          <w:rFonts w:ascii="Times New Roman" w:cs="Times New Roman" w:eastAsia="Times New Roman" w:hAnsi="Times New Roman"/>
          <w:sz w:val="16"/>
          <w:szCs w:val="16"/>
          <w:color w:val="auto"/>
        </w:rPr>
        <w:t>– Fair values are based on unadjusted quoted prices in active markets for identical assets or liabilities.</w:t>
      </w:r>
    </w:p>
    <w:p>
      <w:pPr>
        <w:spacing w:after="0" w:line="16" w:lineRule="exact"/>
        <w:rPr>
          <w:rFonts w:ascii="Times New Roman" w:cs="Times New Roman" w:eastAsia="Times New Roman" w:hAnsi="Times New Roman"/>
          <w:sz w:val="16"/>
          <w:szCs w:val="16"/>
          <w:color w:val="auto"/>
        </w:rPr>
      </w:pPr>
    </w:p>
    <w:p>
      <w:pPr>
        <w:ind w:left="282" w:right="180" w:hanging="282"/>
        <w:spacing w:after="0" w:line="234" w:lineRule="auto"/>
        <w:tabs>
          <w:tab w:leader="none" w:pos="28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Level 2 </w:t>
      </w:r>
      <w:r>
        <w:rPr>
          <w:rFonts w:ascii="Times New Roman" w:cs="Times New Roman" w:eastAsia="Times New Roman" w:hAnsi="Times New Roman"/>
          <w:sz w:val="16"/>
          <w:szCs w:val="16"/>
          <w:color w:val="auto"/>
        </w:rPr>
        <w:t>– Fair values are based on inputs other than quoted prices within Level 1 that are observable for the asset or liability, either directly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indirectly.</w:t>
      </w:r>
    </w:p>
    <w:p>
      <w:pPr>
        <w:spacing w:after="0" w:line="1"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Level 3 </w:t>
      </w:r>
      <w:r>
        <w:rPr>
          <w:rFonts w:ascii="Times New Roman" w:cs="Times New Roman" w:eastAsia="Times New Roman" w:hAnsi="Times New Roman"/>
          <w:sz w:val="16"/>
          <w:szCs w:val="16"/>
          <w:color w:val="auto"/>
        </w:rPr>
        <w:t>– Fair values are based on at least one significant unobservable input for the asset or liability.</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Determination of Fair Value</w:t>
      </w:r>
    </w:p>
    <w:p>
      <w:pPr>
        <w:spacing w:after="0" w:line="190" w:lineRule="exact"/>
        <w:rPr>
          <w:sz w:val="20"/>
          <w:szCs w:val="20"/>
          <w:color w:val="auto"/>
        </w:rPr>
      </w:pPr>
    </w:p>
    <w:p>
      <w:pPr>
        <w:ind w:left="2" w:right="420" w:firstLine="576"/>
        <w:spacing w:after="0" w:line="243" w:lineRule="auto"/>
        <w:rPr>
          <w:sz w:val="20"/>
          <w:szCs w:val="20"/>
          <w:color w:val="auto"/>
        </w:rPr>
      </w:pPr>
      <w:r>
        <w:rPr>
          <w:rFonts w:ascii="Times New Roman" w:cs="Times New Roman" w:eastAsia="Times New Roman" w:hAnsi="Times New Roman"/>
          <w:sz w:val="16"/>
          <w:szCs w:val="16"/>
          <w:color w:val="auto"/>
        </w:rPr>
        <w:t>The following discussion describes the valuation methodologies and inputs used for assets and liabilities measured at fair value on a recurring basis. The techniques utilized in estimating the fair value of financial instruments are reliant on the assumptions used. Care should be exercised in deriving conclusions about our business, its value or financial position based on the fair value information of financial instruments presented below.</w:t>
      </w:r>
    </w:p>
    <w:p>
      <w:pPr>
        <w:spacing w:after="0" w:line="167" w:lineRule="exact"/>
        <w:rPr>
          <w:sz w:val="20"/>
          <w:szCs w:val="20"/>
          <w:color w:val="auto"/>
        </w:rPr>
      </w:pPr>
    </w:p>
    <w:p>
      <w:pPr>
        <w:ind w:left="2" w:right="180" w:firstLine="576"/>
        <w:spacing w:after="0" w:line="239" w:lineRule="auto"/>
        <w:rPr>
          <w:sz w:val="20"/>
          <w:szCs w:val="20"/>
          <w:color w:val="auto"/>
        </w:rPr>
      </w:pPr>
      <w:r>
        <w:rPr>
          <w:rFonts w:ascii="Times New Roman" w:cs="Times New Roman" w:eastAsia="Times New Roman" w:hAnsi="Times New Roman"/>
          <w:sz w:val="16"/>
          <w:szCs w:val="16"/>
          <w:color w:val="auto"/>
        </w:rPr>
        <w:t>Fair value estimates are made based on available market information and judgments about the financial instrument at a specific point in time. Such estimates do not consider the tax impact of the realization of unrealized gains or losses. In addition, the disclosed fair value may not be realized in the immediate settlement of the financial instrument. We validate prices through an investment analyst review process, which includes validation through direct interaction with external sources, review of recent trade activity or use of internal models. In circumstances where broker quotes are used to value an instrument, we generally receive one non-binding quote. Broker quotes are validated through an investment analyst review process, which includes validation through direct interaction with external sources and use of internal models or other relevant information. We did not make any significant changes to our valuation processes during 2025.</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79" w:name="page80"/>
    <w:bookmarkEnd w:id="7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 Maturities</w:t>
      </w:r>
    </w:p>
    <w:p>
      <w:pPr>
        <w:spacing w:after="0" w:line="192"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6"/>
          <w:szCs w:val="16"/>
          <w:color w:val="auto"/>
        </w:rPr>
        <w:t>Fixed maturities include bonds, ABS, redeemable preferred stock and certain non-redeemable preferred securities. When available, the fair value of fixed maturities is based on quoted prices of identical assets in active markets. These are reflected in Level 1 and primarily include U.S. Treasury bonds and actively traded redeemable corporate preferred securities.</w:t>
      </w:r>
    </w:p>
    <w:p>
      <w:pPr>
        <w:spacing w:after="0" w:line="164"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When quoted prices of identical assets in active markets are not available, our first priority is to obtain prices from third party pricing vendors. We have regular interaction with these vendors to ensure we understand their pricing methodologies and to confirm they are utilizing observable market information. Their methodologies vary by asset class and include inputs such as estimated cash flows, benchmark yields, reported trades, broker quotes, credit quality, industry events and economic events. Fixed maturities with validated prices from pricing services, which includes the majority of our public fixed maturities in all asset classes, are generally reflected in Level 2. Also included in Level 2 are corporate bonds when quoted market prices are not available, for which an internal model using substantially all observable inputs or a matrix pricing valuation approach is used. In the matrix approach, securities are grouped into pricing categories that vary by sector, rating and average life. Each pricing category is assigned a risk spread based on studies of observable public market data for specific security classes. The expected cash flows of the security are then discounted back at the current Treasury curve plus the appropriate risk spread. Although the matrix valuation approach provides a fair valuation of each pricing category, the valuation of an individual security within each pricing category may also be impacted by company specific factors.</w:t>
      </w:r>
    </w:p>
    <w:p>
      <w:pPr>
        <w:spacing w:after="0" w:line="174"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If we are unable to price a fixed maturity security using prices from third party pricing vendors or other sources specific to the asset class, we may obtain a broker quote or utilize an internal pricing model specific to the asset utilizing relevant market information, to the extent available and where at least one significant unobservable input is utilized. These are reflected in Level 3 in the fair value hierarchy and can include fixed maturities across all asset classes. As of March 31, 2025, approximately 3% of our total fixed maturities were Level 3 securities valued using internal pricing models.</w:t>
      </w:r>
    </w:p>
    <w:p>
      <w:pPr>
        <w:spacing w:after="0" w:line="169"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The primary inputs, by asset class, for valuations of the majority of our Level 2 investments from third party pricing vendors or our internal pricing valuation approach are described below.</w:t>
      </w:r>
    </w:p>
    <w:p>
      <w:pPr>
        <w:spacing w:after="0" w:line="151" w:lineRule="exact"/>
        <w:rPr>
          <w:sz w:val="20"/>
          <w:szCs w:val="20"/>
          <w:color w:val="auto"/>
        </w:rPr>
      </w:pPr>
    </w:p>
    <w:p>
      <w:pPr>
        <w:ind w:right="240" w:firstLine="57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U.S. Government and Agencies/Non-U.S. Governments</w:t>
      </w:r>
      <w:r>
        <w:rPr>
          <w:rFonts w:ascii="Times New Roman" w:cs="Times New Roman" w:eastAsia="Times New Roman" w:hAnsi="Times New Roman"/>
          <w:sz w:val="16"/>
          <w:szCs w:val="16"/>
          <w:color w:val="auto"/>
        </w:rPr>
        <w:t>. Inputs include recently executed market transactions, interest rate yield curves,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maturity dates, market price quotations and credit spreads relating to similar instruments.</w:t>
      </w:r>
    </w:p>
    <w:p>
      <w:pPr>
        <w:spacing w:after="0" w:line="147" w:lineRule="exact"/>
        <w:rPr>
          <w:sz w:val="20"/>
          <w:szCs w:val="20"/>
          <w:color w:val="auto"/>
        </w:rPr>
      </w:pPr>
    </w:p>
    <w:p>
      <w:pPr>
        <w:ind w:right="620" w:firstLine="57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States and Political Subdivisions</w:t>
      </w:r>
      <w:r>
        <w:rPr>
          <w:rFonts w:ascii="Times New Roman" w:cs="Times New Roman" w:eastAsia="Times New Roman" w:hAnsi="Times New Roman"/>
          <w:sz w:val="16"/>
          <w:szCs w:val="16"/>
          <w:color w:val="auto"/>
        </w:rPr>
        <w:t>. Inputs include Municipal Securities Rulemaking Board reported trades, U.S. Treasury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benchmark curves, material event notices, new issue data and obligor credit ratings.</w:t>
      </w:r>
    </w:p>
    <w:p>
      <w:pPr>
        <w:spacing w:after="0" w:line="147" w:lineRule="exact"/>
        <w:rPr>
          <w:sz w:val="20"/>
          <w:szCs w:val="20"/>
          <w:color w:val="auto"/>
        </w:rPr>
      </w:pPr>
    </w:p>
    <w:p>
      <w:pPr>
        <w:ind w:right="180" w:firstLine="576"/>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Corporate</w:t>
      </w:r>
      <w:r>
        <w:rPr>
          <w:rFonts w:ascii="Times New Roman" w:cs="Times New Roman" w:eastAsia="Times New Roman" w:hAnsi="Times New Roman"/>
          <w:sz w:val="16"/>
          <w:szCs w:val="16"/>
          <w:color w:val="auto"/>
        </w:rPr>
        <w:t>. Inputs include recently executed transactions, market price quotations, benchmark yields, issuer spreads and observations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equity and credit default swap curves related to the issuer. For private placement corporate securities valued through the matrix valuation approach inputs include the current Treasury curve and risk spreads based on sector, rating and average life of the issuance.</w:t>
      </w:r>
    </w:p>
    <w:p>
      <w:pPr>
        <w:spacing w:after="0" w:line="160"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RMBS, CMBS, Collateralized Debt Obligations and Other Debt Obligations</w:t>
      </w:r>
      <w:r>
        <w:rPr>
          <w:rFonts w:ascii="Times New Roman" w:cs="Times New Roman" w:eastAsia="Times New Roman" w:hAnsi="Times New Roman"/>
          <w:sz w:val="16"/>
          <w:szCs w:val="16"/>
          <w:color w:val="auto"/>
        </w:rPr>
        <w:t>. Inputs include cash flows, priority of the tranche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capital structure, expected time to maturity for the specific tranche, reinvestment period remaining and performance of the underlying collateral including prepayments, defaults, deferrals, loss severity of defaulted collateral and, for RMBS, prepayment speed assumptions. Other inputs include market indices and recently executed market transactions.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80" w:name="page81"/>
    <w:bookmarkEnd w:id="8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Securities</w:t>
      </w:r>
    </w:p>
    <w:p>
      <w:pPr>
        <w:spacing w:after="0" w:line="192"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Equity securities include mutual funds, common stock, non-redeemable preferred stock and required regulatory investments. Fair values of equity securities are determined using quoted prices in active markets for identical assets when available, which are reflected in Level 1. When quoted prices are not available, we may utilize internal valuation methodologies appropriate for the specific asset that use observable inputs such as underlying share prices or the NAV, which are reflected in Level 2. Fair values might also be determined using broker quotes or through the use of internal models or analysis that incorporate significant assumptions deemed appropriate given the circumstances and consistent with what other market participants would use when pricing such securities, which are reflected in Level 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Mortgage Loans</w:t>
      </w:r>
    </w:p>
    <w:p>
      <w:pPr>
        <w:spacing w:after="0" w:line="192"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Mortgage loans reported at fair value included those of a consolidated VIE for which the fair value option was elected. Fair values of commercial mortgage loans were primarily determined by discounting the expected cash flows at current treasury rates plus an applicable risk spread, which reflected credit quality and maturity of the loans. The risk spread was based on market clearing levels for loans with comparable credit quality, maturities and risk. These were reflected in Level 3. Mortgage loans valued using securitized pricing based on observable market data should be reflected in Level 2 of the fair value hierarchy. The consolidated VIE was deconsolidated during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w:t>
      </w:r>
    </w:p>
    <w:p>
      <w:pPr>
        <w:spacing w:after="0" w:line="192" w:lineRule="exact"/>
        <w:rPr>
          <w:sz w:val="20"/>
          <w:szCs w:val="20"/>
          <w:color w:val="auto"/>
        </w:rPr>
      </w:pPr>
    </w:p>
    <w:p>
      <w:pPr>
        <w:ind w:right="200" w:firstLine="576"/>
        <w:spacing w:after="0" w:line="237" w:lineRule="auto"/>
        <w:rPr>
          <w:sz w:val="20"/>
          <w:szCs w:val="20"/>
          <w:color w:val="auto"/>
        </w:rPr>
      </w:pPr>
      <w:r>
        <w:rPr>
          <w:rFonts w:ascii="Times New Roman" w:cs="Times New Roman" w:eastAsia="Times New Roman" w:hAnsi="Times New Roman"/>
          <w:sz w:val="16"/>
          <w:szCs w:val="16"/>
          <w:color w:val="auto"/>
        </w:rPr>
        <w:t>The fair values of exchange- traded derivatives are determined through quoted market prices, which are reflected in Level 1. Exchange-traded derivatives include futures that are settled daily, which reduces their fair value in the consolidated statements of financial position. The fair values of OTC cleared derivatives are determined through market prices published by the clearinghouses, which are reflected in Level 2. The clearinghouses utilize the secured overnight financing rate (“SOFR”) curve in their valuation. Variation margin associated with OTC cleared derivatives is settled daily, which reduces their fair value in the consolidated statements of financial position. The fair values of bilateral OTC derivative instruments are determined using either pricing valuation models that utilize market observable inputs or broker quotes. The majority of our bilateral OTC derivatives are valued with models that use market observable inputs, which are reflected in Level 2. Significant inputs include contractual terms, interest rates, currency exchange rates, credit spread curves, equity prices and volatilities. These valuation models consider projected discounted cash flows, relevant swap curves and appropriate implied volatilities. Certain bilateral OTC derivatives utilize unobservable market data, primarily independent broker quotes that are nonbinding quotes based on models that do not reflect the result of market transactions, which are reflected in Level 3.</w:t>
      </w:r>
    </w:p>
    <w:p>
      <w:pPr>
        <w:spacing w:after="0" w:line="174"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Our non -cleared derivative contracts are generally documented under ISDA Master Agreements, which provide for legally enforceable set-off and close-out netting of exposures to specific counterparties. Collateral arrangements are bilateral and based on current ratings of each entity. We utilize the SOFR curve to value our positions. Counterparty credit risk is routinely monitored to ensure our adjustment for nonperformance risk is appropriate. Our centrally cleared derivative contracts are conducted with regulated centralized clearinghouses, which provide for daily exchange of cash collateral or variation margin equal to the difference in the daily market values of those contracts that eliminates the nonperformance risk on these trades.</w:t>
      </w:r>
    </w:p>
    <w:p>
      <w:pPr>
        <w:spacing w:after="0" w:line="133"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Rate Contracts. </w:t>
      </w:r>
      <w:r>
        <w:rPr>
          <w:rFonts w:ascii="Times New Roman" w:cs="Times New Roman" w:eastAsia="Times New Roman" w:hAnsi="Times New Roman"/>
          <w:sz w:val="16"/>
          <w:szCs w:val="16"/>
          <w:color w:val="auto"/>
        </w:rPr>
        <w:t>For non -cleared contracts, which include interest rate swaps and interest rate options, we use discounted cash flow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valuation techniques to determine the fair value using observable swap curves as the inputs. These are reflected in Level 2. We have forward contracts for which we obtain prices from third party pricing vendors. These are reflected in Level 2. For centrally cleared contracts we use published prices from clearinghouses. These are reflected in Level 2. In addition, we have forward contracts that are valued using broker quotes. These are reflected in Level 3.</w:t>
      </w:r>
    </w:p>
    <w:p>
      <w:pPr>
        <w:spacing w:after="0" w:line="129"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Exchange Contracts. </w:t>
      </w:r>
      <w:r>
        <w:rPr>
          <w:rFonts w:ascii="Times New Roman" w:cs="Times New Roman" w:eastAsia="Times New Roman" w:hAnsi="Times New Roman"/>
          <w:sz w:val="16"/>
          <w:szCs w:val="16"/>
          <w:color w:val="auto"/>
        </w:rPr>
        <w:t>We use discounted cash flow valuation techniques that utilize observable swap curves and exchange rates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inputs to determine the fair value of foreign currency swaps. These are reflected in Level 2. Currency forwards are valued using observable market inputs, including forward currency exchange rates. These are reflected in Level 2. In addition, we had a limited number of non-standard currency swaps that were valued using broker quotes. These were reflected within Level 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81" w:name="page82"/>
    <w:bookmarkEnd w:id="8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right="40" w:firstLine="576"/>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Contracts. </w:t>
      </w:r>
      <w:r>
        <w:rPr>
          <w:rFonts w:ascii="Times New Roman" w:cs="Times New Roman" w:eastAsia="Times New Roman" w:hAnsi="Times New Roman"/>
          <w:sz w:val="14"/>
          <w:szCs w:val="14"/>
          <w:color w:val="auto"/>
        </w:rPr>
        <w:t>We use an option pricing model using observable implied volatilities, dividend yields, index prices and swap curves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inputs to determine the fair value of equity options. Certain total return swaps use an accrual method comparing both cash flows to determine fair value. These are reflected in Level 2. Certain equity option contracts are valued using broker quotes. These are reflected in Level 3.</w:t>
      </w:r>
    </w:p>
    <w:p>
      <w:pPr>
        <w:spacing w:after="0" w:line="88"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Credit Contracts. </w:t>
      </w:r>
      <w:r>
        <w:rPr>
          <w:rFonts w:ascii="Times New Roman" w:cs="Times New Roman" w:eastAsia="Times New Roman" w:hAnsi="Times New Roman"/>
          <w:sz w:val="16"/>
          <w:szCs w:val="16"/>
          <w:color w:val="auto"/>
        </w:rPr>
        <w:t>We use either the ISDA Credit Default Swap Standard discounted cash flow model that utilizes observable default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probabilities and recovery rates as inputs to determine the fair value of credit default swaps. These are reflected in Level 2. In addition, we have total return swaps and a limited number of credit default swaps that are valued using broker quotes. These are reflected within Level 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Investments</w:t>
      </w:r>
    </w:p>
    <w:p>
      <w:pPr>
        <w:spacing w:after="0" w:line="156" w:lineRule="exact"/>
        <w:rPr>
          <w:sz w:val="20"/>
          <w:szCs w:val="20"/>
          <w:color w:val="auto"/>
        </w:rPr>
      </w:pPr>
    </w:p>
    <w:p>
      <w:pPr>
        <w:jc w:val="both"/>
        <w:ind w:right="280" w:firstLine="576"/>
        <w:spacing w:after="0" w:line="247" w:lineRule="auto"/>
        <w:rPr>
          <w:sz w:val="20"/>
          <w:szCs w:val="20"/>
          <w:color w:val="auto"/>
        </w:rPr>
      </w:pPr>
      <w:r>
        <w:rPr>
          <w:rFonts w:ascii="Times New Roman" w:cs="Times New Roman" w:eastAsia="Times New Roman" w:hAnsi="Times New Roman"/>
          <w:sz w:val="16"/>
          <w:szCs w:val="16"/>
          <w:color w:val="auto"/>
        </w:rPr>
        <w:t>Other investments reported at fair value include invested assets of consolidated sponsored investment funds, unconsolidated sponsored investment funds, other investment funds reported at fair value, other loans of a consolidated VIE for which the fair value option was elected and certain redeemable and nonredeemable preferred stock.</w:t>
      </w:r>
    </w:p>
    <w:p>
      <w:pPr>
        <w:spacing w:after="0" w:line="128" w:lineRule="exact"/>
        <w:rPr>
          <w:sz w:val="20"/>
          <w:szCs w:val="20"/>
          <w:color w:val="auto"/>
        </w:rPr>
      </w:pPr>
    </w:p>
    <w:p>
      <w:pPr>
        <w:ind w:right="180" w:firstLine="576"/>
        <w:spacing w:after="0" w:line="259" w:lineRule="auto"/>
        <w:rPr>
          <w:sz w:val="20"/>
          <w:szCs w:val="20"/>
          <w:color w:val="auto"/>
        </w:rPr>
      </w:pPr>
      <w:r>
        <w:rPr>
          <w:rFonts w:ascii="Times New Roman" w:cs="Times New Roman" w:eastAsia="Times New Roman" w:hAnsi="Times New Roman"/>
          <w:sz w:val="16"/>
          <w:szCs w:val="16"/>
          <w:color w:val="auto"/>
        </w:rPr>
        <w:t>Invested assets of consolidated sponsored investment funds include equity securities, fixed maturities and derivative assets, for which fair values are determined as previously described, and are reflected in Level 1 and Level 2.</w:t>
      </w:r>
    </w:p>
    <w:p>
      <w:pPr>
        <w:spacing w:after="0" w:line="119" w:lineRule="exact"/>
        <w:rPr>
          <w:sz w:val="20"/>
          <w:szCs w:val="20"/>
          <w:color w:val="auto"/>
        </w:rPr>
      </w:pPr>
    </w:p>
    <w:p>
      <w:pPr>
        <w:ind w:right="20" w:firstLine="576"/>
        <w:spacing w:after="0" w:line="299" w:lineRule="auto"/>
        <w:rPr>
          <w:sz w:val="20"/>
          <w:szCs w:val="20"/>
          <w:color w:val="auto"/>
        </w:rPr>
      </w:pPr>
      <w:r>
        <w:rPr>
          <w:rFonts w:ascii="Times New Roman" w:cs="Times New Roman" w:eastAsia="Times New Roman" w:hAnsi="Times New Roman"/>
          <w:sz w:val="14"/>
          <w:szCs w:val="14"/>
          <w:color w:val="auto"/>
        </w:rPr>
        <w:t>The fair value of unconsolidated sponsored investment funds and other investment funds is determined using the NAV of the fund. The NAV of the fund represents the price at which we would be able to initiate a transaction. Investments for which the NAV represents a quoted price in an active market for identical assets are reflected in Level 1. Investments that do not have a quoted price in an active market are reflected in Level 2.</w:t>
      </w:r>
    </w:p>
    <w:p>
      <w:pPr>
        <w:spacing w:after="0" w:line="95"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Other loans of a consolidated VIE for which the fair value option was elected are reflected in Level 3. The fair value of these loans is estimated using a discounted cash flow valuation model that utilizes standard assumption-setting methodology accepted by market participants in the industry. The assumptions are formed based on historical performance of the loans and utilizes market data inputs such as charge-off rates, prepayment rates, recovery rates and discount rates.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Equivalents</w:t>
      </w:r>
    </w:p>
    <w:p>
      <w:pPr>
        <w:spacing w:after="0" w:line="156"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Certain cash equivalents are reported at fair value on a recurring basis and include money market instruments and other short-term investments with maturities of three months or less. Fair values of these cash equivalents may be determined using public quotations, when available, which are reflected in Level 1. When public quotations are not available, because of the highly liquid nature of these assets, carrying amounts may be used to approximate fair values, which are reflected in Level 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Separate Account Assets</w:t>
      </w:r>
    </w:p>
    <w:p>
      <w:pPr>
        <w:spacing w:after="0" w:line="192" w:lineRule="exact"/>
        <w:rPr>
          <w:sz w:val="20"/>
          <w:szCs w:val="20"/>
          <w:color w:val="auto"/>
        </w:rPr>
      </w:pPr>
    </w:p>
    <w:p>
      <w:pPr>
        <w:ind w:right="240" w:firstLine="576"/>
        <w:spacing w:after="0" w:line="238" w:lineRule="auto"/>
        <w:rPr>
          <w:sz w:val="20"/>
          <w:szCs w:val="20"/>
          <w:color w:val="auto"/>
        </w:rPr>
      </w:pPr>
      <w:r>
        <w:rPr>
          <w:rFonts w:ascii="Times New Roman" w:cs="Times New Roman" w:eastAsia="Times New Roman" w:hAnsi="Times New Roman"/>
          <w:sz w:val="16"/>
          <w:szCs w:val="16"/>
          <w:color w:val="auto"/>
        </w:rPr>
        <w:t>Separate account assets include equity securities, debt securities, cash equivalents and derivative instruments, for which fair values are determined as previously described, and are reflected in Level 1, Level 2 and Level 3. Separate account assets also include commercial mortgage loans, for which the fair value is estimated by discounting the expected total cash flows using market rates that are applicable to the yield, credit quality and maturity of the loans. The market clearing spreads vary based on mortgage type, weighted average life, rating and liquidity. These are reflected in Level 3. Finally, separate account assets include real estate, for which the fair value is estimated using discounted cash flow valuation models that utilize various public real estate market data inputs. In addition, each property is appraised annually by an independent appraiser. The real estate included in separate account assets is recorded net of related mortgage encumbrances for which the fair value is estimated using discounted cash flow analysis based on our incremental borrowing rate for similar borrowing arrangements. The real estate within the separate accounts is reflected in Level 3.</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82" w:name="page83"/>
    <w:bookmarkEnd w:id="8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Risk Benefits</w:t>
      </w:r>
    </w:p>
    <w:p>
      <w:pPr>
        <w:spacing w:after="0" w:line="192" w:lineRule="exact"/>
        <w:rPr>
          <w:sz w:val="20"/>
          <w:szCs w:val="20"/>
          <w:color w:val="auto"/>
        </w:rPr>
      </w:pPr>
    </w:p>
    <w:p>
      <w:pPr>
        <w:ind w:right="260" w:firstLine="576"/>
        <w:spacing w:after="0" w:line="243" w:lineRule="auto"/>
        <w:rPr>
          <w:sz w:val="20"/>
          <w:szCs w:val="20"/>
          <w:color w:val="auto"/>
        </w:rPr>
      </w:pPr>
      <w:r>
        <w:rPr>
          <w:rFonts w:ascii="Times New Roman" w:cs="Times New Roman" w:eastAsia="Times New Roman" w:hAnsi="Times New Roman"/>
          <w:sz w:val="16"/>
          <w:szCs w:val="16"/>
          <w:color w:val="auto"/>
        </w:rPr>
        <w:t>MRBs are measured at fair value at the contract level on a recurring basis and are reflected in Level 3 as either an asset or a liability, depending on certain inputs at the reporting date. The key assumptions for calculating the fair value are market assumptions and policyholder behavior. Risk margins are included in the policyholder behavior assumptions. The assumptions are based on a combination of historical data and actuarial judgment. The MRBs are valued using stochastic models that incorporate a spread reflecting our own nonperformance risk.</w:t>
      </w:r>
    </w:p>
    <w:p>
      <w:pPr>
        <w:spacing w:after="0" w:line="167" w:lineRule="exact"/>
        <w:rPr>
          <w:sz w:val="20"/>
          <w:szCs w:val="20"/>
          <w:color w:val="auto"/>
        </w:rPr>
      </w:pPr>
    </w:p>
    <w:p>
      <w:pPr>
        <w:ind w:right="40" w:firstLine="576"/>
        <w:spacing w:after="0" w:line="331" w:lineRule="auto"/>
        <w:rPr>
          <w:sz w:val="20"/>
          <w:szCs w:val="20"/>
          <w:color w:val="auto"/>
        </w:rPr>
      </w:pPr>
      <w:r>
        <w:rPr>
          <w:rFonts w:ascii="Times New Roman" w:cs="Times New Roman" w:eastAsia="Times New Roman" w:hAnsi="Times New Roman"/>
          <w:sz w:val="14"/>
          <w:szCs w:val="14"/>
          <w:color w:val="auto"/>
        </w:rPr>
        <w:t>The assumption for our own nonperformance risk is based on current market credit spreads for debt -like instruments we have issued and are available in the market. Refer to Note 10, Market Risk Benefits, for further information on the determination of fair value measurement of MRBs.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and Universal Life Contracts</w:t>
      </w:r>
    </w:p>
    <w:p>
      <w:pPr>
        <w:spacing w:after="0" w:line="192"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Certain universal life, annuity and other investment contracts include embedded derivatives that have been bifurcated from the host contract and are measured at fair value on a recurring basis, which are reflected in Level 3. The key assumptions for calculating the fair value of the embedded derivative liabilities are market assumptions (such as equity market returns, interest rate levels, market volatility and correlations) and policyholder behavior assumptions (such as lapse and mortality). Risk margins are included in the policyholder behavior assumptions. The assumptions are based on a combination of historical data and actuarial judgment. The embedded derivative liabilities are valued using models that incorporate a spread reflecting our own creditworthiness.</w:t>
      </w:r>
    </w:p>
    <w:p>
      <w:pPr>
        <w:spacing w:after="0" w:line="173" w:lineRule="exact"/>
        <w:rPr>
          <w:sz w:val="20"/>
          <w:szCs w:val="20"/>
          <w:color w:val="auto"/>
        </w:rPr>
      </w:pPr>
    </w:p>
    <w:p>
      <w:pPr>
        <w:jc w:val="both"/>
        <w:ind w:right="120" w:firstLine="576"/>
        <w:spacing w:after="0" w:line="247" w:lineRule="auto"/>
        <w:rPr>
          <w:sz w:val="20"/>
          <w:szCs w:val="20"/>
          <w:color w:val="auto"/>
        </w:rPr>
      </w:pPr>
      <w:r>
        <w:rPr>
          <w:rFonts w:ascii="Times New Roman" w:cs="Times New Roman" w:eastAsia="Times New Roman" w:hAnsi="Times New Roman"/>
          <w:sz w:val="16"/>
          <w:szCs w:val="16"/>
          <w:color w:val="auto"/>
        </w:rPr>
        <w:t>The assumption for our own nonperformance risk for investment contracts and any embedded derivatives bifurcated from certain universal life, annuity and investment contracts is based on the current market credit spreads for debt-like instruments we have issued and are available in the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Funds Withheld Payable</w:t>
      </w:r>
    </w:p>
    <w:p>
      <w:pPr>
        <w:spacing w:after="0" w:line="192"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6"/>
          <w:szCs w:val="16"/>
          <w:color w:val="auto"/>
        </w:rPr>
        <w:t>The funds withheld payable includes an embedded derivative that has been bifurcated from the host contract and is measured at fair value on a recurring basis, which is reflected in Level 3. The fair value is determined based on the change in the estimated fair value of the underlying funds withheld investments. The fair value of these assets is determined as previously described.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Debt</w:t>
      </w:r>
    </w:p>
    <w:p>
      <w:pPr>
        <w:spacing w:after="0" w:line="192" w:lineRule="exact"/>
        <w:rPr>
          <w:sz w:val="20"/>
          <w:szCs w:val="20"/>
          <w:color w:val="auto"/>
        </w:rPr>
      </w:pPr>
    </w:p>
    <w:p>
      <w:pPr>
        <w:jc w:val="both"/>
        <w:ind w:right="180" w:firstLine="576"/>
        <w:spacing w:after="0" w:line="243" w:lineRule="auto"/>
        <w:rPr>
          <w:sz w:val="20"/>
          <w:szCs w:val="20"/>
          <w:color w:val="auto"/>
        </w:rPr>
      </w:pPr>
      <w:r>
        <w:rPr>
          <w:rFonts w:ascii="Times New Roman" w:cs="Times New Roman" w:eastAsia="Times New Roman" w:hAnsi="Times New Roman"/>
          <w:sz w:val="16"/>
          <w:szCs w:val="16"/>
          <w:color w:val="auto"/>
        </w:rPr>
        <w:t>Long-term debt reported at fair value included that of a consolidated VIE for which the fair value option was elected. The long- term debt was a secured credit facility that was primarily financing for commercial real estate loans. The fair value was estimated using discounted cash flow analysis based on our incremental borrowing rate for similar borrowing arrangements. These were reflected in Level 2. The consolidated VIE was deconsolidated during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Liabilities</w:t>
      </w:r>
    </w:p>
    <w:p>
      <w:pPr>
        <w:spacing w:after="0" w:line="192" w:lineRule="exact"/>
        <w:rPr>
          <w:sz w:val="20"/>
          <w:szCs w:val="20"/>
          <w:color w:val="auto"/>
        </w:rPr>
      </w:pPr>
    </w:p>
    <w:p>
      <w:pPr>
        <w:ind w:right="440" w:firstLine="576"/>
        <w:spacing w:after="0" w:line="259" w:lineRule="auto"/>
        <w:rPr>
          <w:sz w:val="20"/>
          <w:szCs w:val="20"/>
          <w:color w:val="auto"/>
        </w:rPr>
      </w:pPr>
      <w:r>
        <w:rPr>
          <w:rFonts w:ascii="Times New Roman" w:cs="Times New Roman" w:eastAsia="Times New Roman" w:hAnsi="Times New Roman"/>
          <w:sz w:val="16"/>
          <w:szCs w:val="16"/>
          <w:color w:val="auto"/>
        </w:rPr>
        <w:t>Derivative liabilities of consolidated sponsored investment funds are reported at fair value within other liabilities. Fair values of these derivatives are determined as previously described and are reflected in Level 1 and Level 2.</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57" w:right="1260" w:bottom="1440" w:gutter="0" w:footer="0" w:header="0"/>
        </w:sectPr>
      </w:pPr>
    </w:p>
    <w:bookmarkStart w:id="83" w:name="page84"/>
    <w:bookmarkEnd w:id="8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 and Liabilities Measured at Fair Value on a Recurring Basis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9"/>
              </w:rPr>
              <w:t>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9"/>
              </w:rPr>
              <w:t>measured at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net asset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Fair value hierarchy level</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3"/>
                <w:szCs w:val="13"/>
                <w:b w:val="1"/>
                <w:bCs w:val="1"/>
                <w:color w:val="auto"/>
                <w:w w:val="99"/>
              </w:rPr>
              <w:t>value (5)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42"/>
              <w:spacing w:after="0" w:line="14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42"/>
              <w:spacing w:after="0" w:line="14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1,658.6</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1,262.5</w:t>
            </w:r>
          </w:p>
        </w:tc>
        <w:tc>
          <w:tcPr>
            <w:tcW w:w="40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396.1</w:t>
            </w:r>
          </w:p>
        </w:tc>
        <w:tc>
          <w:tcPr>
            <w:tcW w:w="3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6,192.9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6,124.3</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36,671.5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34,223.8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3,763.7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right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5,215.7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5,213.1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6,634.2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6,634.2</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9,096.1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7,636.4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69,726.7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1,290.9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64,485.6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3,950.2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1,307.2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735.6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2,428.9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1,130.2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1,298.7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Derivative assets (2)</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610.8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606.9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910.4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264.4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418.2</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2,589.8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538.7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2,051.1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asset (3)</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Sub-total excluding separate account assets</w:t>
            </w:r>
          </w:p>
        </w:tc>
        <w:tc>
          <w:tcPr>
            <w:tcW w:w="1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77,732.5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3,224.7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69,596.1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Separate account assets</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171,266.2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7,091.1</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108,513.8</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54,923.1</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248,998.7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7,200.3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111,738.5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124,519.2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5,540.7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and universal life contracts (4)</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(522.7)</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liability (3)</w:t>
            </w:r>
          </w:p>
        </w:tc>
        <w:tc>
          <w:tcPr>
            <w:tcW w:w="12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(80.4)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Funds withheld payable embedded derivative (4)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2,804.8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 (2)</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(437.3)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1,762.8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(431.6)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250,761.5</w:t>
            </w:r>
          </w:p>
        </w:tc>
        <w:tc>
          <w:tcPr>
            <w:tcW w:w="60" w:type="dxa"/>
            <w:vAlign w:val="bottom"/>
          </w:tcPr>
          <w:p>
            <w:pPr>
              <w:spacing w:after="0"/>
              <w:rPr>
                <w:sz w:val="15"/>
                <w:szCs w:val="15"/>
                <w:color w:val="auto"/>
              </w:rPr>
            </w:pP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7,200.3</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111,736.9</w:t>
            </w:r>
          </w:p>
        </w:tc>
        <w:tc>
          <w:tcPr>
            <w:tcW w:w="40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124,087.6</w:t>
            </w:r>
          </w:p>
        </w:tc>
        <w:tc>
          <w:tcPr>
            <w:tcW w:w="3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84" w:name="page85"/>
    <w:bookmarkEnd w:id="84"/>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Assets/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9"/>
              </w:rPr>
              <w:t>measured at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measured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net asset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623"/>
              <w:spacing w:after="0"/>
              <w:rPr>
                <w:sz w:val="20"/>
                <w:szCs w:val="20"/>
                <w:color w:val="auto"/>
              </w:rPr>
            </w:pPr>
            <w:r>
              <w:rPr>
                <w:rFonts w:ascii="Times New Roman" w:cs="Times New Roman" w:eastAsia="Times New Roman" w:hAnsi="Times New Roman"/>
                <w:sz w:val="13"/>
                <w:szCs w:val="13"/>
                <w:b w:val="1"/>
                <w:bCs w:val="1"/>
                <w:color w:val="auto"/>
              </w:rPr>
              <w:t>Fair value hierarchy level</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3"/>
                <w:szCs w:val="13"/>
                <w:b w:val="1"/>
                <w:bCs w:val="1"/>
                <w:color w:val="auto"/>
                <w:w w:val="99"/>
              </w:rPr>
              <w:t>value (5)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2"/>
                <w:szCs w:val="12"/>
                <w:color w:val="auto"/>
              </w:rPr>
            </w:pPr>
          </w:p>
        </w:tc>
        <w:tc>
          <w:tcPr>
            <w:tcW w:w="102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00" w:type="dxa"/>
            <w:vAlign w:val="bottom"/>
          </w:tcPr>
          <w:p>
            <w:pPr>
              <w:spacing w:after="0"/>
              <w:rPr>
                <w:sz w:val="12"/>
                <w:szCs w:val="12"/>
                <w:color w:val="auto"/>
              </w:rPr>
            </w:pPr>
          </w:p>
        </w:tc>
        <w:tc>
          <w:tcPr>
            <w:tcW w:w="840" w:type="dxa"/>
            <w:vAlign w:val="bottom"/>
          </w:tcPr>
          <w:p>
            <w:pPr>
              <w:jc w:val="right"/>
              <w:ind w:right="242"/>
              <w:spacing w:after="0" w:line="14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2"/>
                <w:szCs w:val="12"/>
                <w:color w:val="auto"/>
              </w:rPr>
            </w:pPr>
          </w:p>
        </w:tc>
      </w:tr>
      <w:tr>
        <w:trPr>
          <w:trHeight w:val="136"/>
        </w:trPr>
        <w:tc>
          <w:tcPr>
            <w:tcW w:w="2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3"/>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1,637.9</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1,231.9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406.0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495.7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6,009.7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20" w:type="dxa"/>
            <w:vAlign w:val="bottom"/>
          </w:tcPr>
          <w:p>
            <w:pPr>
              <w:spacing w:after="0"/>
              <w:rPr>
                <w:sz w:val="15"/>
                <w:szCs w:val="15"/>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35,702.6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33,323.1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2,350.4</w:t>
            </w:r>
          </w:p>
        </w:tc>
        <w:tc>
          <w:tcPr>
            <w:tcW w:w="20" w:type="dxa"/>
            <w:vAlign w:val="bottom"/>
          </w:tcPr>
          <w:p>
            <w:pPr>
              <w:spacing w:after="0"/>
              <w:rPr>
                <w:sz w:val="15"/>
                <w:szCs w:val="15"/>
                <w:color w:val="auto"/>
              </w:rPr>
            </w:pPr>
          </w:p>
        </w:tc>
      </w:tr>
      <w:tr>
        <w:trPr>
          <w:trHeight w:val="167"/>
        </w:trPr>
        <w:tc>
          <w:tcPr>
            <w:tcW w:w="344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Residential mortgage-backed pass-through</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5,185.3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6,560.4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6,560.4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7,437.4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1,478.3</w:t>
            </w:r>
          </w:p>
        </w:tc>
        <w:tc>
          <w:tcPr>
            <w:tcW w:w="20" w:type="dxa"/>
            <w:vAlign w:val="bottom"/>
          </w:tcPr>
          <w:p>
            <w:pPr>
              <w:spacing w:after="0"/>
              <w:rPr>
                <w:sz w:val="15"/>
                <w:szCs w:val="15"/>
                <w:color w:val="auto"/>
              </w:rPr>
            </w:pPr>
          </w:p>
        </w:tc>
      </w:tr>
      <w:tr>
        <w:trPr>
          <w:trHeight w:val="172"/>
        </w:trPr>
        <w:tc>
          <w:tcPr>
            <w:tcW w:w="344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68,251.0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1,261.0</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63,091.8</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3,898.2</w:t>
            </w:r>
          </w:p>
        </w:tc>
        <w:tc>
          <w:tcPr>
            <w:tcW w:w="20" w:type="dxa"/>
            <w:vAlign w:val="bottom"/>
          </w:tcPr>
          <w:p>
            <w:pPr>
              <w:spacing w:after="0"/>
              <w:rPr>
                <w:sz w:val="14"/>
                <w:szCs w:val="14"/>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460.7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562.6</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990.2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1,304.8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assets (2)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626.8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405.5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131.2</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2,950.5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271.6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2,678.9</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asset (3)</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199.5</w:t>
            </w:r>
          </w:p>
        </w:tc>
        <w:tc>
          <w:tcPr>
            <w:tcW w:w="20" w:type="dxa"/>
            <w:vAlign w:val="bottom"/>
          </w:tcPr>
          <w:p>
            <w:pPr>
              <w:spacing w:after="0"/>
              <w:rPr>
                <w:sz w:val="15"/>
                <w:szCs w:val="15"/>
                <w:color w:val="auto"/>
              </w:rPr>
            </w:pPr>
          </w:p>
        </w:tc>
      </w:tr>
      <w:tr>
        <w:trPr>
          <w:trHeight w:val="172"/>
        </w:trPr>
        <w:tc>
          <w:tcPr>
            <w:tcW w:w="3440" w:type="dxa"/>
            <w:vAlign w:val="bottom"/>
            <w:tcBorders>
              <w:top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Sub-total excluding separate account assets</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76,413.7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106.7</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2,785.0</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68,568.5</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4,953.5</w:t>
            </w:r>
          </w:p>
        </w:tc>
        <w:tc>
          <w:tcPr>
            <w:tcW w:w="20" w:type="dxa"/>
            <w:vAlign w:val="bottom"/>
          </w:tcPr>
          <w:p>
            <w:pPr>
              <w:spacing w:after="0"/>
              <w:rPr>
                <w:sz w:val="14"/>
                <w:szCs w:val="14"/>
                <w:color w:val="auto"/>
              </w:rPr>
            </w:pPr>
          </w:p>
        </w:tc>
      </w:tr>
      <w:tr>
        <w:trPr>
          <w:trHeight w:val="180"/>
        </w:trPr>
        <w:tc>
          <w:tcPr>
            <w:tcW w:w="34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Separate account assets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173,327.1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7,573.6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112,920.3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52,106.5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726.7</w:t>
            </w:r>
          </w:p>
        </w:tc>
        <w:tc>
          <w:tcPr>
            <w:tcW w:w="20" w:type="dxa"/>
            <w:vAlign w:val="bottom"/>
          </w:tcPr>
          <w:p>
            <w:pPr>
              <w:spacing w:after="0"/>
              <w:rPr>
                <w:sz w:val="15"/>
                <w:szCs w:val="15"/>
                <w:color w:val="auto"/>
              </w:rPr>
            </w:pPr>
          </w:p>
        </w:tc>
      </w:tr>
      <w:tr>
        <w:trPr>
          <w:trHeight w:val="172"/>
        </w:trPr>
        <w:tc>
          <w:tcPr>
            <w:tcW w:w="34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249,740.8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7,680.3</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115,705.3</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120,675.0</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5,680.2</w:t>
            </w:r>
          </w:p>
        </w:tc>
        <w:tc>
          <w:tcPr>
            <w:tcW w:w="20" w:type="dxa"/>
            <w:vAlign w:val="bottom"/>
          </w:tcPr>
          <w:p>
            <w:pPr>
              <w:spacing w:after="0"/>
              <w:rPr>
                <w:sz w:val="14"/>
                <w:szCs w:val="14"/>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Investment and universal life contracts (4)</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(578.4)</w:t>
            </w:r>
          </w:p>
        </w:tc>
        <w:tc>
          <w:tcPr>
            <w:tcW w:w="10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(578.4)</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liability (3)</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Funds withheld payable embedded derivative (4)</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3,014.5</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liabilities (2)</w:t>
            </w: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(498.3)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5"/>
                <w:szCs w:val="15"/>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212"/>
        </w:trPr>
        <w:tc>
          <w:tcPr>
            <w:tcW w:w="34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1,840.8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(520.1)</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2,366.1</w:t>
            </w:r>
          </w:p>
        </w:tc>
        <w:tc>
          <w:tcPr>
            <w:tcW w:w="20" w:type="dxa"/>
            <w:vAlign w:val="bottom"/>
          </w:tcPr>
          <w:p>
            <w:pPr>
              <w:spacing w:after="0"/>
              <w:rPr>
                <w:sz w:val="18"/>
                <w:szCs w:val="18"/>
                <w:color w:val="auto"/>
              </w:rPr>
            </w:pPr>
          </w:p>
        </w:tc>
      </w:tr>
      <w:tr>
        <w:trPr>
          <w:trHeight w:val="156"/>
        </w:trPr>
        <w:tc>
          <w:tcPr>
            <w:tcW w:w="2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251,581.6</w:t>
            </w:r>
          </w:p>
        </w:tc>
        <w:tc>
          <w:tcPr>
            <w:tcW w:w="10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7,680.3</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115,700.1</w:t>
            </w:r>
          </w:p>
        </w:tc>
        <w:tc>
          <w:tcPr>
            <w:tcW w:w="20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120,154.9</w:t>
            </w:r>
          </w:p>
        </w:tc>
        <w:tc>
          <w:tcPr>
            <w:tcW w:w="18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8,046.3</w:t>
            </w:r>
          </w:p>
        </w:tc>
        <w:tc>
          <w:tcPr>
            <w:tcW w:w="20" w:type="dxa"/>
            <w:vAlign w:val="bottom"/>
          </w:tcPr>
          <w:p>
            <w:pPr>
              <w:spacing w:after="0"/>
              <w:rPr>
                <w:sz w:val="15"/>
                <w:szCs w:val="15"/>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0" w:lineRule="exact"/>
        <w:rPr>
          <w:sz w:val="20"/>
          <w:szCs w:val="20"/>
          <w:color w:val="auto"/>
        </w:rPr>
      </w:pPr>
    </w:p>
    <w:p>
      <w:pPr>
        <w:ind w:left="282" w:hanging="282"/>
        <w:spacing w:after="0"/>
        <w:tabs>
          <w:tab w:leader="none" w:pos="28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Primarily consists of collateralized loan obligations backed by secured corporate loans.</w:t>
      </w:r>
    </w:p>
    <w:p>
      <w:pPr>
        <w:spacing w:after="0" w:line="21" w:lineRule="exact"/>
        <w:rPr>
          <w:rFonts w:ascii="Times New Roman" w:cs="Times New Roman" w:eastAsia="Times New Roman" w:hAnsi="Times New Roman"/>
          <w:sz w:val="14"/>
          <w:szCs w:val="14"/>
          <w:color w:val="auto"/>
        </w:rPr>
      </w:pPr>
    </w:p>
    <w:p>
      <w:pPr>
        <w:ind w:left="282" w:right="20" w:hanging="282"/>
        <w:spacing w:after="0" w:line="245" w:lineRule="auto"/>
        <w:tabs>
          <w:tab w:leader="none" w:pos="28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Within the consolidated statements of financial position, derivative assets are reported with other investments and derivative liabilities are reported with other liabilities. The amounts are presented gross in the tables above to reflect the presentation on the consolidated statements of financial position; however, are presented net for purposes of the rollforward in the Changes in Level 3 Fair Value Measurements tables. Refer to Note 5, Derivative Financial Instruments, for further information on fair value by class of derivative instruments.</w:t>
      </w:r>
    </w:p>
    <w:p>
      <w:pPr>
        <w:spacing w:after="0" w:line="2" w:lineRule="exact"/>
        <w:rPr>
          <w:rFonts w:ascii="Times New Roman" w:cs="Times New Roman" w:eastAsia="Times New Roman" w:hAnsi="Times New Roman"/>
          <w:sz w:val="14"/>
          <w:szCs w:val="14"/>
          <w:color w:val="auto"/>
        </w:rPr>
      </w:pPr>
    </w:p>
    <w:p>
      <w:pPr>
        <w:ind w:left="282" w:hanging="282"/>
        <w:spacing w:after="0" w:line="235" w:lineRule="auto"/>
        <w:tabs>
          <w:tab w:leader="none" w:pos="28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Refer to Note 10, Market Risk Benefits, for further information on the change in the Level 3 fair value measurements of MRBs.</w:t>
      </w:r>
    </w:p>
    <w:p>
      <w:pPr>
        <w:spacing w:after="0" w:line="10" w:lineRule="exact"/>
        <w:rPr>
          <w:rFonts w:ascii="Times New Roman" w:cs="Times New Roman" w:eastAsia="Times New Roman" w:hAnsi="Times New Roman"/>
          <w:sz w:val="14"/>
          <w:szCs w:val="14"/>
          <w:color w:val="auto"/>
        </w:rPr>
      </w:pPr>
    </w:p>
    <w:p>
      <w:pPr>
        <w:ind w:left="282" w:right="60" w:hanging="282"/>
        <w:spacing w:after="0" w:line="241" w:lineRule="auto"/>
        <w:tabs>
          <w:tab w:leader="none" w:pos="28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bifurcated embedded derivatives that are reported at net asset (liability) fair value within the same line item in the consolidated statements of financial position in which the host contract is reported. The funds withheld payable embedded derivative could be in either an asset or (liability) position.</w:t>
      </w:r>
    </w:p>
    <w:p>
      <w:pPr>
        <w:ind w:left="282" w:right="180" w:hanging="282"/>
        <w:spacing w:after="0" w:line="248" w:lineRule="auto"/>
        <w:tabs>
          <w:tab w:leader="none" w:pos="28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Certain investments are measured at fair value using the NAV per share (or its equivalent) practical expedient and have not been classified in the fair value hierarchy. Other investments using the NAV practical expedient consist of certain fund interests that are restricted until maturity with unfunded commitments totaling $3.1 million and $3.1 million as of March 31, 2025 and December 31, 2024, respectively. Separate account assets using the NAV practical expedient consist of certain funds with varying investment strategies that also have a variety of redemption terms and conditions. We do not have unfunded commitments associated with these funds.</w:t>
      </w: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85" w:name="page86"/>
    <w:bookmarkEnd w:id="8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Level 3 Fair Value Measurements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reconciliation for all assets and liabilities measured at fair value on a recurring basis using significant unobservable inputs (Level 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Beginning</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3"/>
                <w:szCs w:val="13"/>
                <w:b w:val="1"/>
                <w:bCs w:val="1"/>
                <w:color w:val="auto"/>
                <w:w w:val="98"/>
              </w:rPr>
              <w:t>Ending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asset/</w:t>
            </w:r>
          </w:p>
        </w:tc>
        <w:tc>
          <w:tcPr>
            <w:tcW w:w="60" w:type="dxa"/>
            <w:vAlign w:val="bottom"/>
          </w:tcPr>
          <w:p>
            <w:pPr>
              <w:spacing w:after="0"/>
              <w:rPr>
                <w:sz w:val="13"/>
                <w:szCs w:val="13"/>
                <w:color w:val="auto"/>
              </w:rPr>
            </w:pPr>
          </w:p>
        </w:tc>
        <w:tc>
          <w:tcPr>
            <w:tcW w:w="20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 realized/unrealized</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asset/</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60" w:type="dxa"/>
            <w:vAlign w:val="bottom"/>
          </w:tcPr>
          <w:p>
            <w:pPr>
              <w:spacing w:after="0"/>
              <w:rPr>
                <w:sz w:val="14"/>
                <w:szCs w:val="14"/>
                <w:color w:val="auto"/>
              </w:rPr>
            </w:pPr>
          </w:p>
        </w:tc>
        <w:tc>
          <w:tcPr>
            <w:tcW w:w="202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gains (losses)</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balance</w:t>
            </w: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4"/>
              <w:spacing w:after="0" w:line="134" w:lineRule="exact"/>
              <w:rPr>
                <w:sz w:val="20"/>
                <w:szCs w:val="20"/>
                <w:color w:val="auto"/>
              </w:rPr>
            </w:pPr>
            <w:r>
              <w:rPr>
                <w:rFonts w:ascii="Times New Roman" w:cs="Times New Roman" w:eastAsia="Times New Roman" w:hAnsi="Times New Roman"/>
                <w:sz w:val="13"/>
                <w:szCs w:val="13"/>
                <w:b w:val="1"/>
                <w:bCs w:val="1"/>
                <w:color w:val="auto"/>
              </w:rPr>
              <w:t>Included 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issuances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balance</w:t>
            </w: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Included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Transfers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Transfers</w:t>
            </w:r>
          </w:p>
        </w:tc>
        <w:tc>
          <w:tcPr>
            <w:tcW w:w="8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net income</w:t>
            </w:r>
          </w:p>
        </w:tc>
        <w:tc>
          <w:tcPr>
            <w:tcW w:w="80" w:type="dxa"/>
            <w:vAlign w:val="bottom"/>
          </w:tcPr>
          <w:p>
            <w:pPr>
              <w:spacing w:after="0"/>
              <w:rPr>
                <w:sz w:val="13"/>
                <w:szCs w:val="13"/>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settlements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out of</w:t>
            </w:r>
          </w:p>
        </w:tc>
        <w:tc>
          <w:tcPr>
            <w:tcW w:w="8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 (3)</w:t>
            </w:r>
          </w:p>
        </w:tc>
        <w:tc>
          <w:tcPr>
            <w:tcW w:w="8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Fixed maturities, available-for-sale: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2,350.4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(5.2)</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mortgage-backed securities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debt obligations</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1,478.3</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(24.8)</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fixed maturities, available-for-sale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3,898.2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ind w:left="560"/>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3,950.2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Fixed maturities, trading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562.6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(4.8)</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 loans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131.2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Separate account assets (1)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726.7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Investment and universal life contracts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(578.4)</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Funds withheld payable embedded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3,014.5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Net derivative assets (liabilities)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86" w:name="page87"/>
    <w:bookmarkEnd w:id="86"/>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Beginning</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rPr>
              <w:t>Ending</w:t>
            </w:r>
          </w:p>
        </w:tc>
        <w:tc>
          <w:tcPr>
            <w:tcW w:w="20" w:type="dxa"/>
            <w:vAlign w:val="bottom"/>
          </w:tcPr>
          <w:p>
            <w:pPr>
              <w:spacing w:after="0"/>
              <w:rPr>
                <w:sz w:val="11"/>
                <w:szCs w:val="11"/>
                <w:color w:val="auto"/>
              </w:rPr>
            </w:pP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asset/</w:t>
            </w:r>
          </w:p>
        </w:tc>
        <w:tc>
          <w:tcPr>
            <w:tcW w:w="80" w:type="dxa"/>
            <w:vAlign w:val="bottom"/>
          </w:tcPr>
          <w:p>
            <w:pPr>
              <w:spacing w:after="0"/>
              <w:rPr>
                <w:sz w:val="13"/>
                <w:szCs w:val="13"/>
                <w:color w:val="auto"/>
              </w:rPr>
            </w:pPr>
          </w:p>
        </w:tc>
        <w:tc>
          <w:tcPr>
            <w:tcW w:w="198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 realized/unrealized</w:t>
            </w: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asset/</w:t>
            </w:r>
          </w:p>
        </w:tc>
      </w:tr>
      <w:tr>
        <w:trPr>
          <w:trHeight w:val="170"/>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Pr>
          <w:p>
            <w:pPr>
              <w:spacing w:after="0"/>
              <w:rPr>
                <w:sz w:val="14"/>
                <w:szCs w:val="14"/>
                <w:color w:val="auto"/>
              </w:rPr>
            </w:pPr>
          </w:p>
        </w:tc>
        <w:tc>
          <w:tcPr>
            <w:tcW w:w="198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gains (losses)</w:t>
            </w:r>
          </w:p>
        </w:tc>
        <w:tc>
          <w:tcPr>
            <w:tcW w:w="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(liability)</w:t>
            </w:r>
          </w:p>
        </w:tc>
      </w:tr>
      <w:tr>
        <w:trPr>
          <w:trHeight w:val="134"/>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54"/>
              <w:spacing w:after="0" w:line="134" w:lineRule="exact"/>
              <w:rPr>
                <w:sz w:val="20"/>
                <w:szCs w:val="20"/>
                <w:color w:val="auto"/>
              </w:rPr>
            </w:pPr>
            <w:r>
              <w:rPr>
                <w:rFonts w:ascii="Times New Roman" w:cs="Times New Roman" w:eastAsia="Times New Roman" w:hAnsi="Times New Roman"/>
                <w:sz w:val="13"/>
                <w:szCs w:val="13"/>
                <w:b w:val="1"/>
                <w:bCs w:val="1"/>
                <w:color w:val="auto"/>
              </w:rPr>
              <w:t>Included in</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issuances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balance</w:t>
            </w: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Included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Transfers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Transfers</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net income</w:t>
            </w:r>
          </w:p>
        </w:tc>
        <w:tc>
          <w:tcPr>
            <w:tcW w:w="8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settlements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out of</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70"/>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income (3)</w:t>
            </w:r>
          </w:p>
        </w:tc>
        <w:tc>
          <w:tcPr>
            <w:tcW w:w="60" w:type="dxa"/>
            <w:vAlign w:val="bottom"/>
          </w:tcPr>
          <w:p>
            <w:pPr>
              <w:spacing w:after="0"/>
              <w:rPr>
                <w:sz w:val="14"/>
                <w:szCs w:val="14"/>
                <w:color w:val="auto"/>
              </w:rPr>
            </w:pPr>
          </w:p>
        </w:tc>
        <w:tc>
          <w:tcPr>
            <w:tcW w:w="7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4"/>
                <w:szCs w:val="14"/>
                <w:color w:val="auto"/>
              </w:rPr>
            </w:pPr>
          </w:p>
        </w:tc>
      </w:tr>
      <w:tr>
        <w:trPr>
          <w:trHeight w:val="136"/>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54"/>
              <w:spacing w:after="0" w:line="136" w:lineRule="exact"/>
              <w:rPr>
                <w:sz w:val="20"/>
                <w:szCs w:val="20"/>
                <w:color w:val="auto"/>
              </w:rPr>
            </w:pPr>
            <w:r>
              <w:rPr>
                <w:rFonts w:ascii="Times New Roman" w:cs="Times New Roman" w:eastAsia="Times New Roman" w:hAnsi="Times New Roman"/>
                <w:sz w:val="13"/>
                <w:szCs w:val="13"/>
                <w:i w:val="1"/>
                <w:iCs w:val="1"/>
                <w:color w:val="auto"/>
                <w:w w:val="96"/>
              </w:rPr>
              <w:t>(in millions)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Fixed maturities, available-for-sale: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20" w:type="dxa"/>
            <w:vAlign w:val="bottom"/>
          </w:tcPr>
          <w:p>
            <w:pPr>
              <w:spacing w:after="0"/>
              <w:rPr>
                <w:sz w:val="13"/>
                <w:szCs w:val="13"/>
                <w:color w:val="auto"/>
              </w:rPr>
            </w:pPr>
          </w:p>
        </w:tc>
      </w:tr>
      <w:tr>
        <w:trPr>
          <w:trHeight w:val="156"/>
        </w:trPr>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2,202.6</w:t>
            </w: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mortgage-backed securities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3"/>
                <w:szCs w:val="13"/>
                <w:color w:val="auto"/>
              </w:rPr>
            </w:pPr>
          </w:p>
        </w:tc>
      </w:tr>
      <w:tr>
        <w:trPr>
          <w:trHeight w:val="156"/>
        </w:trPr>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Collateralized debt obligations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debt obligations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(111.6)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w:t>
            </w:r>
          </w:p>
        </w:tc>
        <w:tc>
          <w:tcPr>
            <w:tcW w:w="20" w:type="dxa"/>
            <w:vAlign w:val="bottom"/>
          </w:tcPr>
          <w:p>
            <w:pPr>
              <w:spacing w:after="0"/>
              <w:rPr>
                <w:sz w:val="13"/>
                <w:szCs w:val="13"/>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Total fixed maturities, available-for-sale</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3,636.8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(21.5)</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(78.5)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119.5</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(111.6)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3,539.5</w:t>
            </w:r>
          </w:p>
        </w:tc>
        <w:tc>
          <w:tcPr>
            <w:tcW w:w="20" w:type="dxa"/>
            <w:vAlign w:val="bottom"/>
          </w:tcPr>
          <w:p>
            <w:pPr>
              <w:spacing w:after="0"/>
              <w:rPr>
                <w:sz w:val="12"/>
                <w:szCs w:val="12"/>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maturities, trading</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470.2</w:t>
            </w: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Separate account assets (1)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725.6</w:t>
            </w: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Investment and universal life contracts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(115.5)</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20" w:type="dxa"/>
            <w:vAlign w:val="bottom"/>
          </w:tcPr>
          <w:p>
            <w:pPr>
              <w:spacing w:after="0"/>
              <w:rPr>
                <w:sz w:val="13"/>
                <w:szCs w:val="13"/>
                <w:color w:val="auto"/>
              </w:rPr>
            </w:pPr>
          </w:p>
        </w:tc>
      </w:tr>
      <w:tr>
        <w:trPr>
          <w:trHeight w:val="144"/>
        </w:trPr>
        <w:tc>
          <w:tcPr>
            <w:tcW w:w="23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Funds withheld payable embedded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2,764.1</w:t>
            </w:r>
          </w:p>
        </w:tc>
        <w:tc>
          <w:tcPr>
            <w:tcW w:w="2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Derivatives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Net derivative assets (liabilities)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47891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31" w:lineRule="exact"/>
        <w:rPr>
          <w:sz w:val="20"/>
          <w:szCs w:val="20"/>
          <w:color w:val="auto"/>
        </w:rPr>
      </w:pPr>
    </w:p>
    <w:p>
      <w:pPr>
        <w:ind w:left="282" w:right="60" w:hanging="282"/>
        <w:spacing w:after="0" w:line="247" w:lineRule="auto"/>
        <w:tabs>
          <w:tab w:leader="none" w:pos="2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Gains and losses for separate account assets do not impact net income as the change in value of separate account assets is offset by a change in value of separate account liabilities. Foreign currency translation adjustments related to the Principal Asset Management separate account assets are recorded in AOCI and are offset by foreign currency translation adjustments of the corresponding separate account liabilities.</w:t>
      </w:r>
    </w:p>
    <w:p>
      <w:pPr>
        <w:spacing w:after="0" w:line="200" w:lineRule="exact"/>
        <w:rPr>
          <w:sz w:val="20"/>
          <w:szCs w:val="20"/>
          <w:color w:val="auto"/>
        </w:rPr>
      </w:pPr>
    </w:p>
    <w:p>
      <w:pPr>
        <w:spacing w:after="0" w:line="3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87" w:name="page88"/>
    <w:bookmarkEnd w:id="8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82" w:right="20" w:hanging="282"/>
        <w:spacing w:after="0" w:line="241" w:lineRule="auto"/>
        <w:tabs>
          <w:tab w:leader="none" w:pos="2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realized gains (losses) and mark-to-market unrealized gains (losses) are generally reported in net realized capital gains (losses), net realized capital gains (losses) on funds withheld assets or change in fair value of funds withheld embedded derivative within the consolidated statements of operations. Realized and unrealized gains (losses) on certain securities with an investment objective to realize economic value through mark-to-market changes are reported in net investment income within the consolidated statements of operations. Changes in unrealized gains (losses) included in net income relating to positions still held were:</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900" w:type="dxa"/>
            <w:vAlign w:val="bottom"/>
            <w:tcBorders>
              <w:bottom w:val="single" w:sz="8" w:color="auto"/>
            </w:tcBorders>
            <w:gridSpan w:val="6"/>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4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960" w:type="dxa"/>
            <w:vAlign w:val="bottom"/>
          </w:tcPr>
          <w:p>
            <w:pPr>
              <w:spacing w:after="0"/>
              <w:rPr>
                <w:sz w:val="11"/>
                <w:szCs w:val="11"/>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6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40" w:type="dxa"/>
            <w:vAlign w:val="bottom"/>
            <w:shd w:val="clear" w:color="auto" w:fill="CCEEFF"/>
          </w:tcPr>
          <w:p>
            <w:pPr>
              <w:jc w:val="right"/>
              <w:ind w:right="69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w:t>
            </w: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72"/>
        </w:trPr>
        <w:tc>
          <w:tcPr>
            <w:tcW w:w="6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8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r>
      <w:tr>
        <w:trPr>
          <w:trHeight w:val="180"/>
        </w:trPr>
        <w:tc>
          <w:tcPr>
            <w:tcW w:w="6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8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Separate account 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(33.3)</w:t>
            </w:r>
          </w:p>
        </w:tc>
      </w:tr>
      <w:tr>
        <w:trPr>
          <w:trHeight w:val="180"/>
        </w:trPr>
        <w:tc>
          <w:tcPr>
            <w:tcW w:w="6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6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universal life contracts</w:t>
            </w:r>
          </w:p>
        </w:tc>
        <w:tc>
          <w:tcPr>
            <w:tcW w:w="8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193.6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(44.5)</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Funds withheld payable embedded derivative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(209.7)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w:t>
            </w:r>
          </w:p>
        </w:tc>
      </w:tr>
      <w:tr>
        <w:trPr>
          <w:trHeight w:val="180"/>
        </w:trPr>
        <w:tc>
          <w:tcPr>
            <w:tcW w:w="6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5"/>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assets (liabilities)</w:t>
            </w:r>
          </w:p>
        </w:tc>
        <w:tc>
          <w:tcPr>
            <w:tcW w:w="840" w:type="dxa"/>
            <w:vAlign w:val="bottom"/>
          </w:tcPr>
          <w:p>
            <w:pPr>
              <w:spacing w:after="0"/>
              <w:rPr>
                <w:sz w:val="17"/>
                <w:szCs w:val="17"/>
                <w:color w:val="auto"/>
              </w:rPr>
            </w:pPr>
          </w:p>
        </w:tc>
        <w:tc>
          <w:tcPr>
            <w:tcW w:w="62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(18.5)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142" w:lineRule="exact"/>
        <w:rPr>
          <w:sz w:val="20"/>
          <w:szCs w:val="20"/>
          <w:color w:val="auto"/>
        </w:rPr>
      </w:pPr>
    </w:p>
    <w:p>
      <w:pPr>
        <w:ind w:left="282" w:right="20" w:hanging="282"/>
        <w:spacing w:after="0" w:line="259" w:lineRule="auto"/>
        <w:tabs>
          <w:tab w:leader="none" w:pos="28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unrealized gains (losses) included in OCI, including foreign currency translation adjustments related to Principal Asset Management, relating to positions still held were:</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8"/>
        </w:trPr>
        <w:tc>
          <w:tcPr>
            <w:tcW w:w="3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7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36"/>
        </w:trPr>
        <w:tc>
          <w:tcPr>
            <w:tcW w:w="36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60" w:type="dxa"/>
            <w:vAlign w:val="bottom"/>
            <w:gridSpan w:val="2"/>
          </w:tcPr>
          <w:p>
            <w:pPr>
              <w:jc w:val="right"/>
              <w:ind w:right="714"/>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3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7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3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3660" w:type="dxa"/>
            <w:vAlign w:val="bottom"/>
            <w:gridSpan w:val="2"/>
            <w:shd w:val="clear" w:color="auto" w:fill="CCEEFF"/>
          </w:tcPr>
          <w:p>
            <w:pPr>
              <w:jc w:val="right"/>
              <w:ind w:right="77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w:t>
            </w:r>
          </w:p>
        </w:tc>
        <w:tc>
          <w:tcPr>
            <w:tcW w:w="1260" w:type="dxa"/>
            <w:vAlign w:val="bottom"/>
            <w:gridSpan w:val="2"/>
            <w:shd w:val="clear" w:color="auto" w:fill="CCEEFF"/>
          </w:tcPr>
          <w:p>
            <w:pPr>
              <w:jc w:val="right"/>
              <w:ind w:right="8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(12.6)</w:t>
            </w:r>
          </w:p>
        </w:tc>
      </w:tr>
      <w:tr>
        <w:trPr>
          <w:trHeight w:val="180"/>
        </w:trPr>
        <w:tc>
          <w:tcPr>
            <w:tcW w:w="3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27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w:t>
            </w:r>
          </w:p>
        </w:tc>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360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27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w:t>
            </w:r>
          </w:p>
        </w:tc>
        <w:tc>
          <w:tcPr>
            <w:tcW w:w="3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r>
      <w:tr>
        <w:trPr>
          <w:trHeight w:val="19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maturities, available-for-sale</w:t>
            </w:r>
          </w:p>
        </w:tc>
        <w:tc>
          <w:tcPr>
            <w:tcW w:w="2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(22.9)</w:t>
            </w:r>
          </w:p>
        </w:tc>
      </w:tr>
      <w:tr>
        <w:trPr>
          <w:trHeight w:val="729"/>
        </w:trPr>
        <w:tc>
          <w:tcPr>
            <w:tcW w:w="3600" w:type="dxa"/>
            <w:vAlign w:val="bottom"/>
          </w:tcPr>
          <w:p>
            <w:pPr>
              <w:spacing w:after="0"/>
              <w:rPr>
                <w:sz w:val="24"/>
                <w:szCs w:val="24"/>
                <w:color w:val="auto"/>
              </w:rPr>
            </w:pPr>
          </w:p>
        </w:tc>
        <w:tc>
          <w:tcPr>
            <w:tcW w:w="2740" w:type="dxa"/>
            <w:vAlign w:val="bottom"/>
          </w:tcPr>
          <w:p>
            <w:pPr>
              <w:jc w:val="right"/>
              <w:ind w:right="1522"/>
              <w:spacing w:after="0"/>
              <w:rPr>
                <w:sz w:val="20"/>
                <w:szCs w:val="20"/>
                <w:color w:val="auto"/>
              </w:rPr>
            </w:pPr>
            <w:r>
              <w:rPr>
                <w:rFonts w:ascii="Times New Roman" w:cs="Times New Roman" w:eastAsia="Times New Roman" w:hAnsi="Times New Roman"/>
                <w:sz w:val="16"/>
                <w:szCs w:val="16"/>
                <w:color w:val="auto"/>
              </w:rPr>
              <w:t>88</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342"/>
          </w:cols>
          <w:pgMar w:left="1278" w:top="557" w:right="1280" w:bottom="1440" w:gutter="0" w:footer="0" w:header="0"/>
        </w:sectPr>
      </w:pPr>
    </w:p>
    <w:bookmarkStart w:id="88" w:name="page89"/>
    <w:bookmarkEnd w:id="8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(4)  Gross purchases, sales, issuances and settlements were:</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Net purchases,</w:t>
            </w:r>
          </w:p>
        </w:tc>
        <w:tc>
          <w:tcPr>
            <w:tcW w:w="2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sales, issuances</w:t>
            </w:r>
          </w:p>
        </w:tc>
      </w:tr>
      <w:tr>
        <w:trPr>
          <w:trHeight w:val="170"/>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9"/>
              </w:rPr>
              <w:t>Purchases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Issuances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Settlements</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and settlements</w:t>
            </w:r>
          </w:p>
        </w:tc>
      </w:tr>
      <w:tr>
        <w:trPr>
          <w:trHeight w:val="136"/>
        </w:trPr>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40"/>
              <w:spacing w:after="0" w:line="136" w:lineRule="exact"/>
              <w:rPr>
                <w:sz w:val="20"/>
                <w:szCs w:val="20"/>
                <w:color w:val="auto"/>
              </w:rPr>
            </w:pPr>
            <w:r>
              <w:rPr>
                <w:rFonts w:ascii="Times New Roman" w:cs="Times New Roman" w:eastAsia="Times New Roman" w:hAnsi="Times New Roman"/>
                <w:sz w:val="13"/>
                <w:szCs w:val="13"/>
                <w:i w:val="1"/>
                <w:iCs w:val="1"/>
                <w:color w:val="auto"/>
                <w:w w:val="96"/>
              </w:rPr>
              <w:t>(in millions)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3"/>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0" w:type="dxa"/>
            <w:vAlign w:val="bottom"/>
          </w:tcPr>
          <w:p>
            <w:pPr>
              <w:spacing w:after="0"/>
              <w:rPr>
                <w:sz w:val="15"/>
                <w:szCs w:val="15"/>
                <w:color w:val="auto"/>
              </w:rPr>
            </w:pPr>
          </w:p>
        </w:tc>
      </w:tr>
      <w:tr>
        <w:trPr>
          <w:trHeight w:val="180"/>
        </w:trPr>
        <w:tc>
          <w:tcPr>
            <w:tcW w:w="4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235.2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(34.0)</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71.2</w:t>
            </w: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Pr>
          <w:p>
            <w:pPr>
              <w:spacing w:after="0"/>
              <w:rPr>
                <w:sz w:val="15"/>
                <w:szCs w:val="15"/>
                <w:color w:val="auto"/>
              </w:rPr>
            </w:pPr>
          </w:p>
        </w:tc>
      </w:tr>
      <w:tr>
        <w:trPr>
          <w:trHeight w:val="180"/>
        </w:trPr>
        <w:tc>
          <w:tcPr>
            <w:tcW w:w="4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224.7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(177.7)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(43.8)</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w:t>
            </w:r>
          </w:p>
        </w:tc>
        <w:tc>
          <w:tcPr>
            <w:tcW w:w="20" w:type="dxa"/>
            <w:vAlign w:val="bottom"/>
          </w:tcPr>
          <w:p>
            <w:pPr>
              <w:spacing w:after="0"/>
              <w:rPr>
                <w:sz w:val="15"/>
                <w:szCs w:val="15"/>
                <w:color w:val="auto"/>
              </w:rPr>
            </w:pPr>
          </w:p>
        </w:tc>
      </w:tr>
      <w:tr>
        <w:trPr>
          <w:trHeight w:val="172"/>
        </w:trPr>
        <w:tc>
          <w:tcPr>
            <w:tcW w:w="478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459.9</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(307.7)</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(78.5)</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73.7</w:t>
            </w:r>
          </w:p>
        </w:tc>
        <w:tc>
          <w:tcPr>
            <w:tcW w:w="20" w:type="dxa"/>
            <w:vAlign w:val="bottom"/>
          </w:tcPr>
          <w:p>
            <w:pPr>
              <w:spacing w:after="0"/>
              <w:rPr>
                <w:sz w:val="14"/>
                <w:szCs w:val="14"/>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(44.8)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w:t>
            </w: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(140.6)</w:t>
            </w: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(35.1)</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(15.3)</w:t>
            </w:r>
          </w:p>
        </w:tc>
        <w:tc>
          <w:tcPr>
            <w:tcW w:w="2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and universal life contracts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(153.9)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(137.7)</w:t>
            </w:r>
          </w:p>
        </w:tc>
        <w:tc>
          <w:tcPr>
            <w:tcW w:w="20" w:type="dxa"/>
            <w:vAlign w:val="bottom"/>
          </w:tcPr>
          <w:p>
            <w:pPr>
              <w:spacing w:after="0"/>
              <w:rPr>
                <w:sz w:val="15"/>
                <w:szCs w:val="15"/>
                <w:color w:val="auto"/>
              </w:rPr>
            </w:pPr>
          </w:p>
        </w:tc>
      </w:tr>
      <w:tr>
        <w:trPr>
          <w:trHeight w:val="180"/>
        </w:trPr>
        <w:tc>
          <w:tcPr>
            <w:tcW w:w="2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derivative assets (liabilities)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20" w:type="dxa"/>
            <w:vAlign w:val="bottom"/>
          </w:tcPr>
          <w:p>
            <w:pPr>
              <w:spacing w:after="0"/>
              <w:rPr>
                <w:sz w:val="17"/>
                <w:szCs w:val="17"/>
                <w:color w:val="auto"/>
              </w:rPr>
            </w:pPr>
          </w:p>
        </w:tc>
      </w:tr>
      <w:tr>
        <w:trPr>
          <w:trHeight w:val="323"/>
        </w:trPr>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Net purchases,</w:t>
            </w:r>
          </w:p>
        </w:tc>
        <w:tc>
          <w:tcPr>
            <w:tcW w:w="2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sales, issuances</w:t>
            </w:r>
          </w:p>
        </w:tc>
      </w:tr>
      <w:tr>
        <w:trPr>
          <w:trHeight w:val="170"/>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9"/>
              </w:rPr>
              <w:t>Purchases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Issuances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Settlements</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and settlements</w:t>
            </w:r>
          </w:p>
        </w:tc>
      </w:tr>
      <w:tr>
        <w:trPr>
          <w:trHeight w:val="136"/>
        </w:trPr>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i w:val="1"/>
                <w:iCs w:val="1"/>
                <w:color w:val="auto"/>
                <w:w w:val="93"/>
              </w:rPr>
              <w:t>(in millions)</w:t>
            </w: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CEEFF"/>
          </w:tcPr>
          <w:p>
            <w:pPr>
              <w:jc w:val="right"/>
              <w:ind w:right="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5"/>
                <w:szCs w:val="15"/>
                <w:color w:val="auto"/>
              </w:rPr>
            </w:pPr>
          </w:p>
        </w:tc>
      </w:tr>
      <w:tr>
        <w:trPr>
          <w:trHeight w:val="180"/>
        </w:trPr>
        <w:tc>
          <w:tcPr>
            <w:tcW w:w="4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(40.8)</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(126.4)</w:t>
            </w: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5"/>
                <w:szCs w:val="15"/>
                <w:color w:val="auto"/>
              </w:rPr>
            </w:pPr>
          </w:p>
        </w:tc>
      </w:tr>
      <w:tr>
        <w:trPr>
          <w:trHeight w:val="180"/>
        </w:trPr>
        <w:tc>
          <w:tcPr>
            <w:tcW w:w="47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(59.1)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5"/>
                <w:szCs w:val="15"/>
                <w:color w:val="auto"/>
              </w:rPr>
            </w:pPr>
          </w:p>
        </w:tc>
      </w:tr>
      <w:tr>
        <w:trPr>
          <w:trHeight w:val="172"/>
        </w:trPr>
        <w:tc>
          <w:tcPr>
            <w:tcW w:w="47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266.5</w:t>
            </w: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(280.2)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(64.8)</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4"/>
                <w:szCs w:val="14"/>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187.3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57.9</w:t>
            </w: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Separate account assets (5)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5"/>
                <w:szCs w:val="15"/>
                <w:color w:val="auto"/>
              </w:rPr>
            </w:pPr>
          </w:p>
        </w:tc>
      </w:tr>
      <w:tr>
        <w:trPr>
          <w:trHeight w:val="180"/>
        </w:trPr>
        <w:tc>
          <w:tcPr>
            <w:tcW w:w="2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Investment and universal life contracts</w:t>
            </w: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2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derivative assets (liabilities)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5"/>
                <w:szCs w:val="15"/>
                <w:color w:val="auto"/>
              </w:rPr>
            </w:pPr>
          </w:p>
        </w:tc>
      </w:tr>
      <w:tr>
        <w:trPr>
          <w:trHeight w:val="96"/>
        </w:trPr>
        <w:tc>
          <w:tcPr>
            <w:tcW w:w="23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9" w:lineRule="exact"/>
        <w:rPr>
          <w:sz w:val="20"/>
          <w:szCs w:val="20"/>
          <w:color w:val="auto"/>
        </w:rPr>
      </w:pPr>
    </w:p>
    <w:p>
      <w:pPr>
        <w:ind w:left="282" w:hanging="282"/>
        <w:spacing w:after="0"/>
        <w:tabs>
          <w:tab w:leader="none" w:pos="28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Issuances and settlements include amounts related to mortgage encumbrances associated with real estate in our separate accounts.</w:t>
      </w:r>
    </w:p>
    <w:p>
      <w:pPr>
        <w:spacing w:after="0" w:line="200" w:lineRule="exact"/>
        <w:rPr>
          <w:rFonts w:ascii="Times New Roman" w:cs="Times New Roman" w:eastAsia="Times New Roman" w:hAnsi="Times New Roman"/>
          <w:sz w:val="16"/>
          <w:szCs w:val="16"/>
          <w:color w:val="auto"/>
        </w:rPr>
      </w:pPr>
    </w:p>
    <w:p>
      <w:pPr>
        <w:spacing w:after="0" w:line="360" w:lineRule="exact"/>
        <w:rPr>
          <w:rFonts w:ascii="Times New Roman" w:cs="Times New Roman" w:eastAsia="Times New Roman" w:hAnsi="Times New Roman"/>
          <w:sz w:val="16"/>
          <w:szCs w:val="16"/>
          <w:color w:val="auto"/>
        </w:rPr>
      </w:pPr>
    </w:p>
    <w:p>
      <w:pPr>
        <w:ind w:left="45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89" w:name="page90"/>
    <w:bookmarkEnd w:id="8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Transfers of assets and liabilities measured at fair value on a recurring basis between fair value hierarchy levels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34"/>
        </w:trPr>
        <w:tc>
          <w:tcPr>
            <w:tcW w:w="3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89"/>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48"/>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88"/>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r>
      <w:tr>
        <w:trPr>
          <w:trHeight w:val="156"/>
        </w:trPr>
        <w:tc>
          <w:tcPr>
            <w:tcW w:w="3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 Level 1 into</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of Level 2 into</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of Level 3 into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of Level 3 into</w:t>
            </w:r>
          </w:p>
        </w:tc>
      </w:tr>
      <w:tr>
        <w:trPr>
          <w:trHeight w:val="170"/>
        </w:trPr>
        <w:tc>
          <w:tcPr>
            <w:tcW w:w="3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9"/>
              </w:rPr>
              <w:t>Level 2</w:t>
            </w:r>
          </w:p>
        </w:tc>
      </w:tr>
      <w:tr>
        <w:trPr>
          <w:trHeight w:val="136"/>
        </w:trPr>
        <w:tc>
          <w:tcPr>
            <w:tcW w:w="3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900"/>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40" w:type="dxa"/>
            <w:vAlign w:val="bottom"/>
            <w:gridSpan w:val="3"/>
          </w:tcPr>
          <w:p>
            <w:pPr>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5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2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CEEFF"/>
          </w:tcPr>
          <w:p>
            <w:pPr>
              <w:ind w:left="8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gridSpan w:val="3"/>
            <w:shd w:val="clear" w:color="auto" w:fill="CCEEFF"/>
          </w:tcPr>
          <w:p>
            <w:pPr>
              <w:jc w:val="right"/>
              <w:ind w:right="1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ind w:left="9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ind w:left="8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w:t>
            </w:r>
          </w:p>
        </w:tc>
      </w:tr>
      <w:tr>
        <w:trPr>
          <w:trHeight w:val="172"/>
        </w:trPr>
        <w:tc>
          <w:tcPr>
            <w:tcW w:w="35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ind w:left="88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92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6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24.8</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trading</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ind w:left="9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ind w:left="8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w:t>
            </w:r>
          </w:p>
        </w:tc>
      </w:tr>
      <w:tr>
        <w:trPr>
          <w:trHeight w:val="180"/>
        </w:trPr>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5"/>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assets (liabilities)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r>
      <w:tr>
        <w:trPr>
          <w:trHeight w:val="323"/>
        </w:trPr>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34"/>
        </w:trPr>
        <w:tc>
          <w:tcPr>
            <w:tcW w:w="3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9"/>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08"/>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68"/>
              <w:spacing w:after="0" w:line="134" w:lineRule="exact"/>
              <w:rPr>
                <w:sz w:val="20"/>
                <w:szCs w:val="20"/>
                <w:color w:val="auto"/>
              </w:rPr>
            </w:pPr>
            <w:r>
              <w:rPr>
                <w:rFonts w:ascii="Times New Roman" w:cs="Times New Roman" w:eastAsia="Times New Roman" w:hAnsi="Times New Roman"/>
                <w:sz w:val="13"/>
                <w:szCs w:val="13"/>
                <w:b w:val="1"/>
                <w:bCs w:val="1"/>
                <w:color w:val="auto"/>
              </w:rPr>
              <w:t>Transfers out</w:t>
            </w:r>
          </w:p>
        </w:tc>
      </w:tr>
      <w:tr>
        <w:trPr>
          <w:trHeight w:val="156"/>
        </w:trPr>
        <w:tc>
          <w:tcPr>
            <w:tcW w:w="3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 Level 1 into</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of Level 2 into</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of Level 3 into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of Level 3 into</w:t>
            </w:r>
          </w:p>
        </w:tc>
      </w:tr>
      <w:tr>
        <w:trPr>
          <w:trHeight w:val="170"/>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Level 2</w:t>
            </w:r>
          </w:p>
        </w:tc>
      </w:tr>
      <w:tr>
        <w:trPr>
          <w:trHeight w:val="136"/>
        </w:trPr>
        <w:tc>
          <w:tcPr>
            <w:tcW w:w="3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920"/>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40" w:type="dxa"/>
            <w:vAlign w:val="bottom"/>
            <w:gridSpan w:val="3"/>
          </w:tcPr>
          <w:p>
            <w:pPr>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5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9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4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9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111.6</w:t>
            </w:r>
          </w:p>
        </w:tc>
      </w:tr>
      <w:tr>
        <w:trPr>
          <w:trHeight w:val="172"/>
        </w:trPr>
        <w:tc>
          <w:tcPr>
            <w:tcW w:w="3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94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119.5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111.6</w:t>
            </w:r>
          </w:p>
        </w:tc>
      </w:tr>
    </w:tbl>
    <w:p>
      <w:pPr>
        <w:spacing w:after="0" w:line="16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Assets transferred into Level 3 during the three months ended March 31, 2024, primarily included those assets for which we are now unable to obtain pricing from a recognized third party pricing vendor as well as assets that were previously priced using a matrix valuation approach that may no longer be relevant when applied to asset-specific situations.</w:t>
      </w:r>
    </w:p>
    <w:p>
      <w:pPr>
        <w:spacing w:after="0" w:line="164"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Assets transferred out of Level 3 during the three months ended March 31, 2025 and 2024, primarily included those assets for which we are now able to obtain pricing from a recognized third party pricing vendor or from internal models using substantially all market observable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Quantitative Information about Level 3 Fair Value Measurements</w:t>
      </w:r>
    </w:p>
    <w:p>
      <w:pPr>
        <w:spacing w:after="0" w:line="190"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The following table provides quantitative information about the significant unobservable inputs used for recurring fair value measurements categorized within Level 3, excluding assets and liabilities for which significant quantitative unobservable inputs are not developed internally, which primarily consists of those valued using broker quotes. The MRB asset and liability are excluded from the table. Refer to Note 10, Market Risk Benefits, for information on the unobservable inputs used for fair value measurement of MRBs. The funds withheld payable embedded derivative is excluded from the table as the determination of its fair value incorporates the fair value of the invested assets supporting the reinsurance agreement. The commercial mortgage loans of a consolidated VIE are excluded from the table as the determination of fair value was based on transaction price due to proximity of purchase to year - end, and thus no inputs to be provided. Refer to “Assets and liabilities measured at fair value on a recurring basis” for a complete valuation hierarchy summary.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90" w:name="page91"/>
    <w:bookmarkEnd w:id="9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Assets /</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25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measured at</w:t>
            </w:r>
          </w:p>
        </w:tc>
        <w:tc>
          <w:tcPr>
            <w:tcW w:w="1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60" w:type="dxa"/>
            <w:vAlign w:val="bottom"/>
          </w:tcPr>
          <w:p>
            <w:pPr>
              <w:spacing w:after="0"/>
              <w:rPr>
                <w:sz w:val="13"/>
                <w:szCs w:val="13"/>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Input/range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3"/>
                <w:szCs w:val="13"/>
                <w:color w:val="auto"/>
              </w:rPr>
            </w:pPr>
          </w:p>
        </w:tc>
      </w:tr>
      <w:tr>
        <w:trPr>
          <w:trHeight w:val="170"/>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technique(s)</w:t>
            </w:r>
          </w:p>
        </w:tc>
        <w:tc>
          <w:tcPr>
            <w:tcW w:w="16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input description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4"/>
                <w:szCs w:val="14"/>
                <w:color w:val="auto"/>
              </w:rPr>
            </w:pPr>
          </w:p>
        </w:tc>
      </w:tr>
      <w:tr>
        <w:trPr>
          <w:trHeight w:val="148"/>
        </w:trPr>
        <w:tc>
          <w:tcPr>
            <w:tcW w:w="254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540" w:type="dxa"/>
            <w:vAlign w:val="bottom"/>
            <w:tcBorders>
              <w:left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48"/>
        </w:trPr>
        <w:tc>
          <w:tcPr>
            <w:tcW w:w="2540" w:type="dxa"/>
            <w:vAlign w:val="bottom"/>
            <w:tcBorders>
              <w:left w:val="single" w:sz="8" w:color="auto"/>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Fixed maturities, available-for-sale:</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tcBorders>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Corporate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1,802.6</w:t>
            </w: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3.3</w:t>
            </w:r>
          </w:p>
        </w:tc>
        <w:tc>
          <w:tcPr>
            <w:tcW w:w="18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13.7</w:t>
            </w:r>
          </w:p>
        </w:tc>
        <w:tc>
          <w:tcPr>
            <w:tcW w:w="20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8.0</w:t>
            </w:r>
          </w:p>
        </w:tc>
        <w:tc>
          <w:tcPr>
            <w:tcW w:w="24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5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Earnings before interest,</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1020" w:type="dxa"/>
            <w:vAlign w:val="bottom"/>
          </w:tcPr>
          <w:p>
            <w:pPr>
              <w:jc w:val="right"/>
              <w:ind w:right="89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1.5</w:t>
            </w:r>
          </w:p>
        </w:tc>
        <w:tc>
          <w:tcPr>
            <w:tcW w:w="3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20" w:type="dxa"/>
            <w:vAlign w:val="bottom"/>
            <w:shd w:val="clear" w:color="auto" w:fill="000000"/>
          </w:tcPr>
          <w:p>
            <w:pPr>
              <w:spacing w:after="0"/>
              <w:rPr>
                <w:sz w:val="11"/>
                <w:szCs w:val="11"/>
                <w:color w:val="auto"/>
              </w:rPr>
            </w:pPr>
          </w:p>
        </w:tc>
      </w:tr>
      <w:tr>
        <w:trPr>
          <w:trHeight w:val="156"/>
        </w:trPr>
        <w:tc>
          <w:tcPr>
            <w:tcW w:w="254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taxes, depreciation and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68"/>
        </w:trPr>
        <w:tc>
          <w:tcPr>
            <w:tcW w:w="2540" w:type="dxa"/>
            <w:vAlign w:val="bottom"/>
            <w:tcBorders>
              <w:left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amortization multiple</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540" w:type="dxa"/>
            <w:vAlign w:val="bottom"/>
            <w:tcBorders>
              <w:lef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Illiquidity premium</w:t>
            </w: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w:t>
            </w:r>
          </w:p>
        </w:tc>
        <w:tc>
          <w:tcPr>
            <w:tcW w:w="120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basis points (“bps”) -</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791</w:t>
            </w:r>
          </w:p>
        </w:tc>
        <w:tc>
          <w:tcPr>
            <w:tcW w:w="38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146</w:t>
            </w:r>
          </w:p>
        </w:tc>
        <w:tc>
          <w:tcPr>
            <w:tcW w:w="24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500" w:type="dxa"/>
            <w:vAlign w:val="bottom"/>
            <w:tcBorders>
              <w:bottom w:val="single" w:sz="8" w:color="auto"/>
            </w:tcBorders>
            <w:gridSpan w:val="3"/>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(68)bps -</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1,984</w:t>
            </w:r>
          </w:p>
        </w:tc>
        <w:tc>
          <w:tcPr>
            <w:tcW w:w="38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109</w:t>
            </w:r>
          </w:p>
        </w:tc>
        <w:tc>
          <w:tcPr>
            <w:tcW w:w="24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tcBorders>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Other debt obligations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1,457.1</w:t>
            </w: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3.7</w:t>
            </w:r>
          </w:p>
        </w:tc>
        <w:tc>
          <w:tcPr>
            <w:tcW w:w="18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8.5</w:t>
            </w:r>
          </w:p>
        </w:tc>
        <w:tc>
          <w:tcPr>
            <w:tcW w:w="20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4.6</w:t>
            </w:r>
          </w:p>
        </w:tc>
        <w:tc>
          <w:tcPr>
            <w:tcW w:w="24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Illiquidity premium</w:t>
            </w:r>
          </w:p>
        </w:tc>
        <w:tc>
          <w:tcPr>
            <w:tcW w:w="1500" w:type="dxa"/>
            <w:vAlign w:val="bottom"/>
            <w:tcBorders>
              <w:bottom w:val="single" w:sz="8" w:color="auto"/>
            </w:tcBorders>
            <w:gridSpan w:val="3"/>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(83)bps -</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260</w:t>
            </w:r>
          </w:p>
        </w:tc>
        <w:tc>
          <w:tcPr>
            <w:tcW w:w="38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140</w:t>
            </w:r>
          </w:p>
        </w:tc>
        <w:tc>
          <w:tcPr>
            <w:tcW w:w="24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500" w:type="dxa"/>
            <w:vAlign w:val="bottom"/>
            <w:tcBorders>
              <w:bottom w:val="single" w:sz="8" w:color="auto"/>
            </w:tcBorders>
            <w:gridSpan w:val="3"/>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(19)bps -</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415</w:t>
            </w:r>
          </w:p>
        </w:tc>
        <w:tc>
          <w:tcPr>
            <w:tcW w:w="38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139</w:t>
            </w:r>
          </w:p>
        </w:tc>
        <w:tc>
          <w:tcPr>
            <w:tcW w:w="24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CCEEFF"/>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Fixed maturities, trading</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301.7</w:t>
            </w:r>
          </w:p>
        </w:tc>
        <w:tc>
          <w:tcPr>
            <w:tcW w:w="160" w:type="dxa"/>
            <w:vAlign w:val="bottom"/>
            <w:tcBorders>
              <w:bottom w:val="single" w:sz="8" w:color="CCEEFF"/>
              <w:right w:val="single" w:sz="8" w:color="auto"/>
            </w:tcBorders>
          </w:tcPr>
          <w:p>
            <w:pPr>
              <w:spacing w:after="0"/>
              <w:rPr>
                <w:sz w:val="12"/>
                <w:szCs w:val="12"/>
                <w:color w:val="auto"/>
              </w:rPr>
            </w:pPr>
          </w:p>
        </w:tc>
        <w:tc>
          <w:tcPr>
            <w:tcW w:w="13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bottom w:val="single" w:sz="8" w:color="CCEEFF"/>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3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9.4</w:t>
            </w:r>
          </w:p>
        </w:tc>
        <w:tc>
          <w:tcPr>
            <w:tcW w:w="1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13.0</w:t>
            </w:r>
          </w:p>
        </w:tc>
        <w:tc>
          <w:tcPr>
            <w:tcW w:w="200" w:type="dxa"/>
            <w:vAlign w:val="bottom"/>
            <w:tcBorders>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5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6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Earnings before interest,</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38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3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20" w:type="dxa"/>
            <w:vAlign w:val="bottom"/>
            <w:shd w:val="clear" w:color="auto" w:fill="000000"/>
          </w:tcPr>
          <w:p>
            <w:pPr>
              <w:spacing w:after="0"/>
              <w:rPr>
                <w:sz w:val="11"/>
                <w:szCs w:val="11"/>
                <w:color w:val="auto"/>
              </w:rPr>
            </w:pPr>
          </w:p>
        </w:tc>
      </w:tr>
      <w:tr>
        <w:trPr>
          <w:trHeight w:val="156"/>
        </w:trPr>
        <w:tc>
          <w:tcPr>
            <w:tcW w:w="2540" w:type="dxa"/>
            <w:vAlign w:val="bottom"/>
            <w:tcBorders>
              <w:lef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1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taxes, depreciation and</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68"/>
        </w:trPr>
        <w:tc>
          <w:tcPr>
            <w:tcW w:w="2540" w:type="dxa"/>
            <w:vAlign w:val="bottom"/>
            <w:tcBorders>
              <w:lef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60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amortization multiple</w:t>
            </w:r>
          </w:p>
        </w:tc>
        <w:tc>
          <w:tcPr>
            <w:tcW w:w="3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54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500" w:type="dxa"/>
            <w:vAlign w:val="bottom"/>
            <w:tcBorders>
              <w:bottom w:val="single" w:sz="8" w:color="auto"/>
            </w:tcBorders>
            <w:gridSpan w:val="3"/>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(68)bps -</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457</w:t>
            </w:r>
          </w:p>
        </w:tc>
        <w:tc>
          <w:tcPr>
            <w:tcW w:w="38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89</w:t>
            </w:r>
          </w:p>
        </w:tc>
        <w:tc>
          <w:tcPr>
            <w:tcW w:w="24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Other investments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116.8</w:t>
            </w: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4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11.5 %</w:t>
            </w:r>
          </w:p>
        </w:tc>
        <w:tc>
          <w:tcPr>
            <w:tcW w:w="1020" w:type="dxa"/>
            <w:vAlign w:val="bottom"/>
            <w:tcBorders>
              <w:bottom w:val="single" w:sz="8" w:color="auto"/>
            </w:tcBorders>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w:t>
            </w:r>
          </w:p>
        </w:tc>
        <w:tc>
          <w:tcPr>
            <w:tcW w:w="20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12.3</w:t>
            </w:r>
          </w:p>
        </w:tc>
        <w:tc>
          <w:tcPr>
            <w:tcW w:w="24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Probability of default</w:t>
            </w:r>
          </w:p>
        </w:tc>
        <w:tc>
          <w:tcPr>
            <w:tcW w:w="3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6.0</w:t>
            </w:r>
          </w:p>
        </w:tc>
        <w:tc>
          <w:tcPr>
            <w:tcW w:w="1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8.1</w:t>
            </w:r>
          </w:p>
        </w:tc>
        <w:tc>
          <w:tcPr>
            <w:tcW w:w="24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Potential loss severity</w:t>
            </w:r>
          </w:p>
        </w:tc>
        <w:tc>
          <w:tcPr>
            <w:tcW w:w="4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87.0 %</w:t>
            </w:r>
          </w:p>
        </w:tc>
        <w:tc>
          <w:tcPr>
            <w:tcW w:w="1020" w:type="dxa"/>
            <w:vAlign w:val="bottom"/>
            <w:tcBorders>
              <w:bottom w:val="single" w:sz="8" w:color="auto"/>
            </w:tcBorders>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92.2</w:t>
            </w:r>
          </w:p>
        </w:tc>
        <w:tc>
          <w:tcPr>
            <w:tcW w:w="24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540" w:type="dxa"/>
            <w:vAlign w:val="bottom"/>
            <w:tcBorders>
              <w:left w:val="single" w:sz="8" w:color="auto"/>
            </w:tcBorders>
          </w:tcPr>
          <w:p>
            <w:pPr>
              <w:ind w:left="20"/>
              <w:spacing w:after="0" w:line="137" w:lineRule="exact"/>
              <w:rPr>
                <w:sz w:val="20"/>
                <w:szCs w:val="20"/>
                <w:color w:val="auto"/>
              </w:rPr>
            </w:pPr>
            <w:r>
              <w:rPr>
                <w:rFonts w:ascii="Times New Roman" w:cs="Times New Roman" w:eastAsia="Times New Roman" w:hAnsi="Times New Roman"/>
                <w:sz w:val="13"/>
                <w:szCs w:val="13"/>
                <w:color w:val="auto"/>
              </w:rPr>
              <w:t>Separate account assets</w:t>
            </w:r>
          </w:p>
        </w:tc>
        <w:tc>
          <w:tcPr>
            <w:tcW w:w="60" w:type="dxa"/>
            <w:vAlign w:val="bottom"/>
          </w:tcPr>
          <w:p>
            <w:pPr>
              <w:spacing w:after="0"/>
              <w:rPr>
                <w:sz w:val="11"/>
                <w:szCs w:val="11"/>
                <w:color w:val="auto"/>
              </w:rPr>
            </w:pP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738.2</w:t>
            </w:r>
          </w:p>
        </w:tc>
        <w:tc>
          <w:tcPr>
            <w:tcW w:w="160" w:type="dxa"/>
            <w:vAlign w:val="bottom"/>
            <w:tcBorders>
              <w:right w:val="single" w:sz="8" w:color="auto"/>
            </w:tcBorders>
          </w:tcPr>
          <w:p>
            <w:pPr>
              <w:spacing w:after="0"/>
              <w:rPr>
                <w:sz w:val="11"/>
                <w:szCs w:val="11"/>
                <w:color w:val="auto"/>
              </w:rPr>
            </w:pPr>
          </w:p>
        </w:tc>
        <w:tc>
          <w:tcPr>
            <w:tcW w:w="13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Discounted cash flow -</w:t>
            </w:r>
          </w:p>
        </w:tc>
        <w:tc>
          <w:tcPr>
            <w:tcW w:w="160" w:type="dxa"/>
            <w:vAlign w:val="bottom"/>
            <w:tcBorders>
              <w:right w:val="single" w:sz="8" w:color="auto"/>
            </w:tcBorders>
          </w:tcPr>
          <w:p>
            <w:pPr>
              <w:spacing w:after="0"/>
              <w:rPr>
                <w:sz w:val="11"/>
                <w:szCs w:val="11"/>
                <w:color w:val="auto"/>
              </w:rPr>
            </w:pPr>
          </w:p>
        </w:tc>
        <w:tc>
          <w:tcPr>
            <w:tcW w:w="16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Discount rate (1)</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7.0</w:t>
            </w:r>
          </w:p>
        </w:tc>
        <w:tc>
          <w:tcPr>
            <w:tcW w:w="1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854"/>
              <w:spacing w:after="0" w:line="13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10.5</w:t>
            </w:r>
          </w:p>
        </w:tc>
        <w:tc>
          <w:tcPr>
            <w:tcW w:w="200" w:type="dxa"/>
            <w:vAlign w:val="bottom"/>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7.2</w:t>
            </w:r>
          </w:p>
        </w:tc>
        <w:tc>
          <w:tcPr>
            <w:tcW w:w="240" w:type="dxa"/>
            <w:vAlign w:val="bottom"/>
          </w:tcPr>
          <w:p>
            <w:pPr>
              <w:jc w:val="right"/>
              <w:ind w:right="5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000000"/>
          </w:tcPr>
          <w:p>
            <w:pPr>
              <w:spacing w:after="0"/>
              <w:rPr>
                <w:sz w:val="11"/>
                <w:szCs w:val="11"/>
                <w:color w:val="auto"/>
              </w:rPr>
            </w:pPr>
          </w:p>
        </w:tc>
      </w:tr>
      <w:tr>
        <w:trPr>
          <w:trHeight w:val="168"/>
        </w:trPr>
        <w:tc>
          <w:tcPr>
            <w:tcW w:w="2540" w:type="dxa"/>
            <w:vAlign w:val="bottom"/>
            <w:tcBorders>
              <w:left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160" w:type="dxa"/>
            <w:vAlign w:val="bottom"/>
            <w:tcBorders>
              <w:bottom w:val="single" w:sz="8" w:color="CCEEFF"/>
              <w:right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540" w:type="dxa"/>
            <w:vAlign w:val="bottom"/>
            <w:tcBorders>
              <w:lef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Terminal capitalization rate</w:t>
            </w:r>
          </w:p>
        </w:tc>
        <w:tc>
          <w:tcPr>
            <w:tcW w:w="3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5.5</w:t>
            </w:r>
          </w:p>
        </w:tc>
        <w:tc>
          <w:tcPr>
            <w:tcW w:w="18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9.5</w:t>
            </w:r>
          </w:p>
        </w:tc>
        <w:tc>
          <w:tcPr>
            <w:tcW w:w="200" w:type="dxa"/>
            <w:vAlign w:val="bottom"/>
            <w:tcBorders>
              <w:bottom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6.0</w:t>
            </w:r>
          </w:p>
        </w:tc>
        <w:tc>
          <w:tcPr>
            <w:tcW w:w="240" w:type="dxa"/>
            <w:vAlign w:val="bottom"/>
            <w:tcBorders>
              <w:bottom w:val="single" w:sz="8" w:color="auto"/>
            </w:tcBorders>
            <w:shd w:val="clear" w:color="auto" w:fill="CCEEFF"/>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5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Average market rent growth</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854"/>
              <w:spacing w:after="0" w:line="13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2.8</w:t>
            </w:r>
          </w:p>
        </w:tc>
        <w:tc>
          <w:tcPr>
            <w:tcW w:w="240" w:type="dxa"/>
            <w:vAlign w:val="bottom"/>
          </w:tcPr>
          <w:p>
            <w:pPr>
              <w:jc w:val="right"/>
              <w:ind w:right="5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000000"/>
          </w:tcPr>
          <w:p>
            <w:pPr>
              <w:spacing w:after="0"/>
              <w:rPr>
                <w:sz w:val="11"/>
                <w:szCs w:val="11"/>
                <w:color w:val="auto"/>
              </w:rPr>
            </w:pPr>
          </w:p>
        </w:tc>
      </w:tr>
      <w:tr>
        <w:trPr>
          <w:trHeight w:val="168"/>
        </w:trPr>
        <w:tc>
          <w:tcPr>
            <w:tcW w:w="2540" w:type="dxa"/>
            <w:vAlign w:val="bottom"/>
            <w:tcBorders>
              <w:left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rate</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36"/>
        </w:trPr>
        <w:tc>
          <w:tcPr>
            <w:tcW w:w="254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Discounted cash flow -</w:t>
            </w:r>
          </w:p>
        </w:tc>
        <w:tc>
          <w:tcPr>
            <w:tcW w:w="160" w:type="dxa"/>
            <w:vAlign w:val="bottom"/>
            <w:tcBorders>
              <w:right w:val="single" w:sz="8" w:color="auto"/>
            </w:tcBorders>
            <w:shd w:val="clear" w:color="auto" w:fill="CCEEFF"/>
          </w:tcPr>
          <w:p>
            <w:pPr>
              <w:spacing w:after="0"/>
              <w:rPr>
                <w:sz w:val="11"/>
                <w:szCs w:val="11"/>
                <w:color w:val="auto"/>
              </w:rPr>
            </w:pPr>
          </w:p>
        </w:tc>
        <w:tc>
          <w:tcPr>
            <w:tcW w:w="16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to value</w:t>
            </w:r>
          </w:p>
        </w:tc>
        <w:tc>
          <w:tcPr>
            <w:tcW w:w="4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46.4 %</w:t>
            </w:r>
          </w:p>
        </w:tc>
        <w:tc>
          <w:tcPr>
            <w:tcW w:w="1020" w:type="dxa"/>
            <w:vAlign w:val="bottom"/>
            <w:shd w:val="clear" w:color="auto" w:fill="CCEEFF"/>
          </w:tcPr>
          <w:p>
            <w:pPr>
              <w:jc w:val="right"/>
              <w:ind w:right="854"/>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
              <w:spacing w:after="0" w:line="137" w:lineRule="exact"/>
              <w:rPr>
                <w:sz w:val="20"/>
                <w:szCs w:val="20"/>
                <w:color w:val="auto"/>
              </w:rPr>
            </w:pPr>
            <w:r>
              <w:rPr>
                <w:rFonts w:ascii="Times New Roman" w:cs="Times New Roman" w:eastAsia="Times New Roman" w:hAnsi="Times New Roman"/>
                <w:sz w:val="13"/>
                <w:szCs w:val="13"/>
                <w:color w:val="auto"/>
              </w:rPr>
              <w:t>69.5 %</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54"/>
              <w:spacing w:after="0" w:line="137" w:lineRule="exact"/>
              <w:rPr>
                <w:sz w:val="20"/>
                <w:szCs w:val="20"/>
                <w:color w:val="auto"/>
              </w:rPr>
            </w:pPr>
            <w:r>
              <w:rPr>
                <w:rFonts w:ascii="Times New Roman" w:cs="Times New Roman" w:eastAsia="Times New Roman" w:hAnsi="Times New Roman"/>
                <w:sz w:val="13"/>
                <w:szCs w:val="13"/>
                <w:color w:val="auto"/>
              </w:rPr>
              <w:t>57.5 %</w:t>
            </w:r>
          </w:p>
        </w:tc>
        <w:tc>
          <w:tcPr>
            <w:tcW w:w="20" w:type="dxa"/>
            <w:vAlign w:val="bottom"/>
            <w:shd w:val="clear" w:color="auto" w:fill="000000"/>
          </w:tcPr>
          <w:p>
            <w:pPr>
              <w:spacing w:after="0"/>
              <w:rPr>
                <w:sz w:val="11"/>
                <w:szCs w:val="11"/>
                <w:color w:val="auto"/>
              </w:rPr>
            </w:pPr>
          </w:p>
        </w:tc>
      </w:tr>
      <w:tr>
        <w:trPr>
          <w:trHeight w:val="168"/>
        </w:trPr>
        <w:tc>
          <w:tcPr>
            <w:tcW w:w="2540" w:type="dxa"/>
            <w:vAlign w:val="bottom"/>
            <w:tcBorders>
              <w:lef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 debt</w:t>
            </w:r>
          </w:p>
        </w:tc>
        <w:tc>
          <w:tcPr>
            <w:tcW w:w="160" w:type="dxa"/>
            <w:vAlign w:val="bottom"/>
            <w:tcBorders>
              <w:right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54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Market interest rate</w:t>
            </w:r>
          </w:p>
        </w:tc>
        <w:tc>
          <w:tcPr>
            <w:tcW w:w="3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85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6.8</w:t>
            </w:r>
          </w:p>
        </w:tc>
        <w:tc>
          <w:tcPr>
            <w:tcW w:w="200" w:type="dxa"/>
            <w:vAlign w:val="bottom"/>
            <w:tcBorders>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5.7</w:t>
            </w:r>
          </w:p>
        </w:tc>
        <w:tc>
          <w:tcPr>
            <w:tcW w:w="240" w:type="dxa"/>
            <w:vAlign w:val="bottom"/>
            <w:tcBorders>
              <w:bottom w:val="single" w:sz="8" w:color="auto"/>
            </w:tcBorders>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34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8"/>
        </w:trPr>
        <w:tc>
          <w:tcPr>
            <w:tcW w:w="2540" w:type="dxa"/>
            <w:vAlign w:val="bottom"/>
            <w:tcBorders>
              <w:left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Investment and universal life contracts (4)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(522.7)</w:t>
            </w: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Long duration interest rate</w:t>
            </w:r>
          </w:p>
        </w:tc>
        <w:tc>
          <w:tcPr>
            <w:tcW w:w="4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3.1 %</w:t>
            </w:r>
          </w:p>
        </w:tc>
        <w:tc>
          <w:tcPr>
            <w:tcW w:w="1020" w:type="dxa"/>
            <w:vAlign w:val="bottom"/>
            <w:tcBorders>
              <w:bottom w:val="single" w:sz="8" w:color="auto"/>
            </w:tcBorders>
            <w:shd w:val="clear" w:color="auto" w:fill="CCEEFF"/>
          </w:tcPr>
          <w:p>
            <w:pPr>
              <w:jc w:val="right"/>
              <w:ind w:right="8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gridSpan w:val="3"/>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3"/>
                <w:szCs w:val="13"/>
                <w:color w:val="auto"/>
              </w:rPr>
              <w:t>4.6 % (2)</w:t>
            </w:r>
          </w:p>
        </w:tc>
        <w:tc>
          <w:tcPr>
            <w:tcW w:w="60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4.6 %</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54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Long-term equity market</w:t>
            </w:r>
          </w:p>
        </w:tc>
        <w:tc>
          <w:tcPr>
            <w:tcW w:w="4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14.3 %</w:t>
            </w:r>
          </w:p>
        </w:tc>
        <w:tc>
          <w:tcPr>
            <w:tcW w:w="1020" w:type="dxa"/>
            <w:vAlign w:val="bottom"/>
          </w:tcPr>
          <w:p>
            <w:pPr>
              <w:jc w:val="right"/>
              <w:ind w:right="814"/>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28.3 %</w:t>
            </w:r>
          </w:p>
        </w:tc>
        <w:tc>
          <w:tcPr>
            <w:tcW w:w="180" w:type="dxa"/>
            <w:vAlign w:val="bottom"/>
          </w:tcPr>
          <w:p>
            <w:pPr>
              <w:spacing w:after="0"/>
              <w:rPr>
                <w:sz w:val="11"/>
                <w:szCs w:val="11"/>
                <w:color w:val="auto"/>
              </w:rPr>
            </w:pPr>
          </w:p>
        </w:tc>
        <w:tc>
          <w:tcPr>
            <w:tcW w:w="6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18.3 %</w:t>
            </w:r>
          </w:p>
        </w:tc>
        <w:tc>
          <w:tcPr>
            <w:tcW w:w="20" w:type="dxa"/>
            <w:vAlign w:val="bottom"/>
            <w:shd w:val="clear" w:color="auto" w:fill="000000"/>
          </w:tcPr>
          <w:p>
            <w:pPr>
              <w:spacing w:after="0"/>
              <w:rPr>
                <w:sz w:val="11"/>
                <w:szCs w:val="11"/>
                <w:color w:val="auto"/>
              </w:rPr>
            </w:pPr>
          </w:p>
        </w:tc>
      </w:tr>
      <w:tr>
        <w:trPr>
          <w:trHeight w:val="168"/>
        </w:trPr>
        <w:tc>
          <w:tcPr>
            <w:tcW w:w="2540" w:type="dxa"/>
            <w:vAlign w:val="bottom"/>
            <w:tcBorders>
              <w:left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volatility</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540" w:type="dxa"/>
            <w:vAlign w:val="bottom"/>
            <w:tcBorders>
              <w:lef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Nonperformance risk</w:t>
            </w:r>
          </w:p>
        </w:tc>
        <w:tc>
          <w:tcPr>
            <w:tcW w:w="4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0.5 %</w:t>
            </w:r>
          </w:p>
        </w:tc>
        <w:tc>
          <w:tcPr>
            <w:tcW w:w="1020" w:type="dxa"/>
            <w:vAlign w:val="bottom"/>
            <w:tcBorders>
              <w:bottom w:val="single" w:sz="8" w:color="auto"/>
            </w:tcBorders>
            <w:shd w:val="clear" w:color="auto" w:fill="CCEEFF"/>
          </w:tcPr>
          <w:p>
            <w:pPr>
              <w:jc w:val="right"/>
              <w:ind w:right="8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1.2 %</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1.0 %</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Lapse rate</w:t>
            </w:r>
          </w:p>
        </w:tc>
        <w:tc>
          <w:tcPr>
            <w:tcW w:w="4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0.0 %</w:t>
            </w:r>
          </w:p>
        </w:tc>
        <w:tc>
          <w:tcPr>
            <w:tcW w:w="1020" w:type="dxa"/>
            <w:vAlign w:val="bottom"/>
            <w:tcBorders>
              <w:bottom w:val="single" w:sz="8" w:color="auto"/>
            </w:tcBorders>
          </w:tcPr>
          <w:p>
            <w:pPr>
              <w:jc w:val="right"/>
              <w:ind w:right="8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55.0 %</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8.5 %</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540" w:type="dxa"/>
            <w:vAlign w:val="bottom"/>
            <w:tcBorders>
              <w:left w:val="single" w:sz="8" w:color="auto"/>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600" w:type="dxa"/>
            <w:vAlign w:val="bottom"/>
            <w:tcBorders>
              <w:bottom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Mortality rate</w:t>
            </w: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See note (3)</w:t>
            </w:r>
          </w:p>
        </w:tc>
        <w:tc>
          <w:tcPr>
            <w:tcW w:w="3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91" w:name="page92"/>
    <w:bookmarkEnd w:id="91"/>
    <w:p>
      <w:pPr>
        <w:ind w:left="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4" w:lineRule="exact"/>
              <w:rPr>
                <w:sz w:val="20"/>
                <w:szCs w:val="20"/>
                <w:color w:val="auto"/>
              </w:rPr>
            </w:pPr>
            <w:r>
              <w:rPr>
                <w:rFonts w:ascii="Times New Roman" w:cs="Times New Roman" w:eastAsia="Times New Roman" w:hAnsi="Times New Roman"/>
                <w:sz w:val="13"/>
                <w:szCs w:val="13"/>
                <w:b w:val="1"/>
                <w:bCs w:val="1"/>
                <w:color w:val="auto"/>
              </w:rPr>
              <w:t>Assets /</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measured at</w:t>
            </w:r>
          </w:p>
        </w:tc>
        <w:tc>
          <w:tcPr>
            <w:tcW w:w="160" w:type="dxa"/>
            <w:vAlign w:val="bottom"/>
          </w:tcPr>
          <w:p>
            <w:pPr>
              <w:spacing w:after="0"/>
              <w:rPr>
                <w:sz w:val="13"/>
                <w:szCs w:val="13"/>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40" w:type="dxa"/>
            <w:vAlign w:val="bottom"/>
          </w:tcPr>
          <w:p>
            <w:pPr>
              <w:spacing w:after="0"/>
              <w:rPr>
                <w:sz w:val="13"/>
                <w:szCs w:val="13"/>
                <w:color w:val="auto"/>
              </w:rPr>
            </w:pPr>
          </w:p>
        </w:tc>
        <w:tc>
          <w:tcPr>
            <w:tcW w:w="1380" w:type="dxa"/>
            <w:vAlign w:val="bottom"/>
            <w:gridSpan w:val="4"/>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Input/range of</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technique(s)</w:t>
            </w:r>
          </w:p>
        </w:tc>
        <w:tc>
          <w:tcPr>
            <w:tcW w:w="1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input description</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Borders>
              <w:bottom w:val="single" w:sz="8" w:color="auto"/>
            </w:tcBorders>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4"/>
              <w:spacing w:after="0" w:line="148"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320" w:type="dxa"/>
            <w:vAlign w:val="bottom"/>
            <w:tcBorders>
              <w:left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right w:val="single" w:sz="8" w:color="CCEEFF"/>
            </w:tcBorders>
            <w:shd w:val="clear" w:color="auto" w:fill="CCEEFF"/>
          </w:tcPr>
          <w:p>
            <w:pPr>
              <w:spacing w:after="0"/>
              <w:rPr>
                <w:sz w:val="13"/>
                <w:szCs w:val="13"/>
                <w:color w:val="auto"/>
              </w:rPr>
            </w:pPr>
          </w:p>
        </w:tc>
        <w:tc>
          <w:tcPr>
            <w:tcW w:w="19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Fixed maturities, available-for-sale:</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tcBorders>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Corporate</w:t>
            </w:r>
          </w:p>
        </w:tc>
        <w:tc>
          <w:tcPr>
            <w:tcW w:w="22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1,817.8</w:t>
            </w: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6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12.7</w:t>
            </w:r>
          </w:p>
        </w:tc>
        <w:tc>
          <w:tcPr>
            <w:tcW w:w="2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8.0</w:t>
            </w:r>
          </w:p>
        </w:tc>
        <w:tc>
          <w:tcPr>
            <w:tcW w:w="280" w:type="dxa"/>
            <w:vAlign w:val="bottom"/>
            <w:tcBorders>
              <w:bottom w:val="single" w:sz="8" w:color="auto"/>
              <w:right w:val="single" w:sz="8" w:color="CCEEFF"/>
            </w:tcBorders>
            <w:shd w:val="clear" w:color="auto" w:fill="CCEEFF"/>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0" w:type="dxa"/>
            <w:vAlign w:val="bottom"/>
            <w:shd w:val="clear" w:color="auto" w:fill="000000"/>
          </w:tcPr>
          <w:p>
            <w:pPr>
              <w:spacing w:after="0"/>
              <w:rPr>
                <w:sz w:val="11"/>
                <w:szCs w:val="11"/>
                <w:color w:val="auto"/>
              </w:rPr>
            </w:pPr>
          </w:p>
        </w:tc>
        <w:tc>
          <w:tcPr>
            <w:tcW w:w="232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9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Earnings before interest, taxes,</w:t>
            </w:r>
          </w:p>
        </w:tc>
        <w:tc>
          <w:tcPr>
            <w:tcW w:w="6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32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4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28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20" w:type="dxa"/>
            <w:vAlign w:val="bottom"/>
            <w:shd w:val="clear" w:color="auto" w:fill="000000"/>
          </w:tcPr>
          <w:p>
            <w:pPr>
              <w:spacing w:after="0"/>
              <w:rPr>
                <w:sz w:val="11"/>
                <w:szCs w:val="11"/>
                <w:color w:val="auto"/>
              </w:rPr>
            </w:pPr>
          </w:p>
        </w:tc>
      </w:tr>
      <w:tr>
        <w:trPr>
          <w:trHeight w:val="156"/>
        </w:trPr>
        <w:tc>
          <w:tcPr>
            <w:tcW w:w="20" w:type="dxa"/>
            <w:vAlign w:val="bottom"/>
            <w:shd w:val="clear" w:color="auto" w:fill="000000"/>
          </w:tcPr>
          <w:p>
            <w:pPr>
              <w:spacing w:after="0"/>
              <w:rPr>
                <w:sz w:val="13"/>
                <w:szCs w:val="13"/>
                <w:color w:val="auto"/>
              </w:rPr>
            </w:pPr>
          </w:p>
        </w:tc>
        <w:tc>
          <w:tcPr>
            <w:tcW w:w="232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68"/>
        </w:trPr>
        <w:tc>
          <w:tcPr>
            <w:tcW w:w="20" w:type="dxa"/>
            <w:vAlign w:val="bottom"/>
            <w:tcBorders>
              <w:bottom w:val="single" w:sz="8" w:color="auto"/>
            </w:tcBorders>
            <w:shd w:val="clear" w:color="auto" w:fill="000000"/>
          </w:tcPr>
          <w:p>
            <w:pPr>
              <w:spacing w:after="0"/>
              <w:rPr>
                <w:sz w:val="14"/>
                <w:szCs w:val="14"/>
                <w:color w:val="auto"/>
              </w:rPr>
            </w:pPr>
          </w:p>
        </w:tc>
        <w:tc>
          <w:tcPr>
            <w:tcW w:w="2320" w:type="dxa"/>
            <w:vAlign w:val="bottom"/>
            <w:tcBorders>
              <w:left w:val="single" w:sz="8" w:color="auto"/>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multiple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Illiquidity premium</w:t>
            </w:r>
          </w:p>
        </w:tc>
        <w:tc>
          <w:tcPr>
            <w:tcW w:w="6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w:t>
            </w:r>
          </w:p>
        </w:tc>
        <w:tc>
          <w:tcPr>
            <w:tcW w:w="48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 -</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791</w:t>
            </w:r>
          </w:p>
        </w:tc>
        <w:tc>
          <w:tcPr>
            <w:tcW w:w="40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142</w:t>
            </w:r>
          </w:p>
        </w:tc>
        <w:tc>
          <w:tcPr>
            <w:tcW w:w="280" w:type="dxa"/>
            <w:vAlign w:val="bottom"/>
            <w:tcBorders>
              <w:bottom w:val="single" w:sz="8" w:color="auto"/>
              <w:right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(42)bps -</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2,947</w:t>
            </w:r>
          </w:p>
        </w:tc>
        <w:tc>
          <w:tcPr>
            <w:tcW w:w="40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149</w:t>
            </w:r>
          </w:p>
        </w:tc>
        <w:tc>
          <w:tcPr>
            <w:tcW w:w="2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tcBorders>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Other debt obligations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1,343.1</w:t>
            </w: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6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4.9</w:t>
            </w:r>
          </w:p>
        </w:tc>
        <w:tc>
          <w:tcPr>
            <w:tcW w:w="16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5.4</w:t>
            </w:r>
          </w:p>
        </w:tc>
        <w:tc>
          <w:tcPr>
            <w:tcW w:w="280" w:type="dxa"/>
            <w:vAlign w:val="bottom"/>
            <w:tcBorders>
              <w:bottom w:val="single" w:sz="8" w:color="auto"/>
              <w:right w:val="single" w:sz="8" w:color="CCEEFF"/>
            </w:tcBorders>
            <w:shd w:val="clear" w:color="auto" w:fill="CCEEFF"/>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Illiquidity premium</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(83)bps -</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260</w:t>
            </w:r>
          </w:p>
        </w:tc>
        <w:tc>
          <w:tcPr>
            <w:tcW w:w="40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120</w:t>
            </w:r>
          </w:p>
        </w:tc>
        <w:tc>
          <w:tcPr>
            <w:tcW w:w="2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3"/>
            <w:shd w:val="clear" w:color="auto" w:fill="CCEEFF"/>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(19)bps -</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415</w:t>
            </w:r>
          </w:p>
        </w:tc>
        <w:tc>
          <w:tcPr>
            <w:tcW w:w="400" w:type="dxa"/>
            <w:vAlign w:val="bottom"/>
            <w:tcBorders>
              <w:bottom w:val="single" w:sz="8" w:color="auto"/>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280" w:type="dxa"/>
            <w:vAlign w:val="bottom"/>
            <w:tcBorders>
              <w:bottom w:val="single" w:sz="8" w:color="auto"/>
              <w:right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CCEEFF"/>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Fixed maturities, trading</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289.6</w:t>
            </w: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bottom w:val="single" w:sz="8" w:color="CCEEFF"/>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6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13.0</w:t>
            </w:r>
          </w:p>
        </w:tc>
        <w:tc>
          <w:tcPr>
            <w:tcW w:w="220" w:type="dxa"/>
            <w:vAlign w:val="bottom"/>
            <w:tcBorders>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9.9</w:t>
            </w:r>
          </w:p>
        </w:tc>
        <w:tc>
          <w:tcPr>
            <w:tcW w:w="280" w:type="dxa"/>
            <w:vAlign w:val="bottom"/>
            <w:tcBorders>
              <w:bottom w:val="single" w:sz="8" w:color="auto"/>
            </w:tcBorders>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0" w:type="dxa"/>
            <w:vAlign w:val="bottom"/>
            <w:shd w:val="clear" w:color="auto" w:fill="000000"/>
          </w:tcPr>
          <w:p>
            <w:pPr>
              <w:spacing w:after="0"/>
              <w:rPr>
                <w:sz w:val="11"/>
                <w:szCs w:val="11"/>
                <w:color w:val="auto"/>
              </w:rPr>
            </w:pPr>
          </w:p>
        </w:tc>
        <w:tc>
          <w:tcPr>
            <w:tcW w:w="2320" w:type="dxa"/>
            <w:vAlign w:val="bottom"/>
            <w:tcBorders>
              <w:lef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9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Earnings before interest, taxes,</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40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4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280" w:type="dxa"/>
            <w:vAlign w:val="bottom"/>
            <w:tcBorders>
              <w:right w:val="single" w:sz="8" w:color="CCEEFF"/>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20" w:type="dxa"/>
            <w:vAlign w:val="bottom"/>
            <w:shd w:val="clear" w:color="auto" w:fill="000000"/>
          </w:tcPr>
          <w:p>
            <w:pPr>
              <w:spacing w:after="0"/>
              <w:rPr>
                <w:sz w:val="11"/>
                <w:szCs w:val="11"/>
                <w:color w:val="auto"/>
              </w:rPr>
            </w:pPr>
          </w:p>
        </w:tc>
      </w:tr>
      <w:tr>
        <w:trPr>
          <w:trHeight w:val="156"/>
        </w:trPr>
        <w:tc>
          <w:tcPr>
            <w:tcW w:w="20" w:type="dxa"/>
            <w:vAlign w:val="bottom"/>
            <w:shd w:val="clear" w:color="auto" w:fill="000000"/>
          </w:tcPr>
          <w:p>
            <w:pPr>
              <w:spacing w:after="0"/>
              <w:rPr>
                <w:sz w:val="13"/>
                <w:szCs w:val="13"/>
                <w:color w:val="auto"/>
              </w:rPr>
            </w:pPr>
          </w:p>
        </w:tc>
        <w:tc>
          <w:tcPr>
            <w:tcW w:w="2320" w:type="dxa"/>
            <w:vAlign w:val="bottom"/>
            <w:tcBorders>
              <w:lef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68"/>
        </w:trPr>
        <w:tc>
          <w:tcPr>
            <w:tcW w:w="20" w:type="dxa"/>
            <w:vAlign w:val="bottom"/>
            <w:tcBorders>
              <w:bottom w:val="single" w:sz="8" w:color="auto"/>
            </w:tcBorders>
            <w:shd w:val="clear" w:color="auto" w:fill="000000"/>
          </w:tcPr>
          <w:p>
            <w:pPr>
              <w:spacing w:after="0"/>
              <w:rPr>
                <w:sz w:val="14"/>
                <w:szCs w:val="14"/>
                <w:color w:val="auto"/>
              </w:rPr>
            </w:pPr>
          </w:p>
        </w:tc>
        <w:tc>
          <w:tcPr>
            <w:tcW w:w="232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multiple</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Comparability adjustment</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34"/>
              <w:spacing w:after="0" w:line="148" w:lineRule="exact"/>
              <w:rPr>
                <w:sz w:val="20"/>
                <w:szCs w:val="20"/>
                <w:color w:val="auto"/>
              </w:rPr>
            </w:pPr>
            <w:r>
              <w:rPr>
                <w:rFonts w:ascii="Times New Roman" w:cs="Times New Roman" w:eastAsia="Times New Roman" w:hAnsi="Times New Roman"/>
                <w:sz w:val="13"/>
                <w:szCs w:val="13"/>
                <w:color w:val="auto"/>
              </w:rPr>
              <w:t>(32)bps -</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2,947</w:t>
            </w:r>
          </w:p>
        </w:tc>
        <w:tc>
          <w:tcPr>
            <w:tcW w:w="400" w:type="dxa"/>
            <w:vAlign w:val="bottom"/>
            <w:tcBorders>
              <w:bottom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152</w:t>
            </w:r>
          </w:p>
        </w:tc>
        <w:tc>
          <w:tcPr>
            <w:tcW w:w="2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bps</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Other investments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129.0</w:t>
            </w: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 (1)</w:t>
            </w:r>
          </w:p>
        </w:tc>
        <w:tc>
          <w:tcPr>
            <w:tcW w:w="84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11.5 %</w:t>
            </w:r>
          </w:p>
        </w:tc>
        <w:tc>
          <w:tcPr>
            <w:tcW w:w="320" w:type="dxa"/>
            <w:vAlign w:val="bottom"/>
            <w:tcBorders>
              <w:bottom w:val="single" w:sz="8" w:color="auto"/>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w:t>
            </w:r>
          </w:p>
        </w:tc>
        <w:tc>
          <w:tcPr>
            <w:tcW w:w="2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12.4</w:t>
            </w:r>
          </w:p>
        </w:tc>
        <w:tc>
          <w:tcPr>
            <w:tcW w:w="280" w:type="dxa"/>
            <w:vAlign w:val="bottom"/>
            <w:tcBorders>
              <w:bottom w:val="single" w:sz="8" w:color="auto"/>
              <w:right w:val="single" w:sz="8" w:color="CCEEFF"/>
            </w:tcBorders>
            <w:shd w:val="clear" w:color="auto" w:fill="CCEEFF"/>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Probability of default</w:t>
            </w:r>
          </w:p>
        </w:tc>
        <w:tc>
          <w:tcPr>
            <w:tcW w:w="6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6.0</w:t>
            </w:r>
          </w:p>
        </w:tc>
        <w:tc>
          <w:tcPr>
            <w:tcW w:w="16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8.1</w:t>
            </w:r>
          </w:p>
        </w:tc>
        <w:tc>
          <w:tcPr>
            <w:tcW w:w="280" w:type="dxa"/>
            <w:vAlign w:val="bottom"/>
            <w:tcBorders>
              <w:bottom w:val="single" w:sz="8" w:color="auto"/>
            </w:tcBorders>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Potential loss severity</w:t>
            </w:r>
          </w:p>
        </w:tc>
        <w:tc>
          <w:tcPr>
            <w:tcW w:w="84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87.0 %</w:t>
            </w:r>
          </w:p>
        </w:tc>
        <w:tc>
          <w:tcPr>
            <w:tcW w:w="320" w:type="dxa"/>
            <w:vAlign w:val="bottom"/>
            <w:tcBorders>
              <w:bottom w:val="single" w:sz="8" w:color="auto"/>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100.0</w:t>
            </w:r>
          </w:p>
        </w:tc>
        <w:tc>
          <w:tcPr>
            <w:tcW w:w="2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92.0</w:t>
            </w:r>
          </w:p>
        </w:tc>
        <w:tc>
          <w:tcPr>
            <w:tcW w:w="280" w:type="dxa"/>
            <w:vAlign w:val="bottom"/>
            <w:tcBorders>
              <w:bottom w:val="single" w:sz="8" w:color="auto"/>
              <w:right w:val="single" w:sz="8" w:color="CCEEFF"/>
            </w:tcBorders>
            <w:shd w:val="clear" w:color="auto" w:fill="CCEEFF"/>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0" w:type="dxa"/>
            <w:vAlign w:val="bottom"/>
            <w:shd w:val="clear" w:color="auto" w:fill="000000"/>
          </w:tcPr>
          <w:p>
            <w:pPr>
              <w:spacing w:after="0"/>
              <w:rPr>
                <w:sz w:val="11"/>
                <w:szCs w:val="11"/>
                <w:color w:val="auto"/>
              </w:rPr>
            </w:pPr>
          </w:p>
        </w:tc>
        <w:tc>
          <w:tcPr>
            <w:tcW w:w="2320" w:type="dxa"/>
            <w:vAlign w:val="bottom"/>
            <w:tcBorders>
              <w:left w:val="single" w:sz="8" w:color="auto"/>
            </w:tcBorders>
          </w:tcPr>
          <w:p>
            <w:pPr>
              <w:ind w:left="20"/>
              <w:spacing w:after="0" w:line="137" w:lineRule="exact"/>
              <w:rPr>
                <w:sz w:val="20"/>
                <w:szCs w:val="20"/>
                <w:color w:val="auto"/>
              </w:rPr>
            </w:pPr>
            <w:r>
              <w:rPr>
                <w:rFonts w:ascii="Times New Roman" w:cs="Times New Roman" w:eastAsia="Times New Roman" w:hAnsi="Times New Roman"/>
                <w:sz w:val="13"/>
                <w:szCs w:val="13"/>
                <w:color w:val="auto"/>
              </w:rPr>
              <w:t>Separate account assets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726.7</w:t>
            </w:r>
          </w:p>
        </w:tc>
        <w:tc>
          <w:tcPr>
            <w:tcW w:w="160" w:type="dxa"/>
            <w:vAlign w:val="bottom"/>
            <w:tcBorders>
              <w:right w:val="single" w:sz="8" w:color="auto"/>
            </w:tcBorders>
          </w:tcPr>
          <w:p>
            <w:pPr>
              <w:spacing w:after="0"/>
              <w:rPr>
                <w:sz w:val="11"/>
                <w:szCs w:val="11"/>
                <w:color w:val="auto"/>
              </w:rPr>
            </w:pPr>
          </w:p>
        </w:tc>
        <w:tc>
          <w:tcPr>
            <w:tcW w:w="12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w w:val="99"/>
              </w:rPr>
              <w:t>Discounted cash flow -</w:t>
            </w:r>
          </w:p>
        </w:tc>
        <w:tc>
          <w:tcPr>
            <w:tcW w:w="160" w:type="dxa"/>
            <w:vAlign w:val="bottom"/>
            <w:tcBorders>
              <w:right w:val="single" w:sz="8" w:color="auto"/>
            </w:tcBorders>
          </w:tcPr>
          <w:p>
            <w:pPr>
              <w:spacing w:after="0"/>
              <w:rPr>
                <w:sz w:val="11"/>
                <w:szCs w:val="11"/>
                <w:color w:val="auto"/>
              </w:rPr>
            </w:pPr>
          </w:p>
        </w:tc>
        <w:tc>
          <w:tcPr>
            <w:tcW w:w="19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Discount rate (1)</w:t>
            </w:r>
          </w:p>
        </w:tc>
        <w:tc>
          <w:tcPr>
            <w:tcW w:w="6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7.0</w:t>
            </w:r>
          </w:p>
        </w:tc>
        <w:tc>
          <w:tcPr>
            <w:tcW w:w="1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11.0</w:t>
            </w:r>
          </w:p>
        </w:tc>
        <w:tc>
          <w:tcPr>
            <w:tcW w:w="220" w:type="dxa"/>
            <w:vAlign w:val="bottom"/>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7.2</w:t>
            </w:r>
          </w:p>
        </w:tc>
        <w:tc>
          <w:tcPr>
            <w:tcW w:w="280" w:type="dxa"/>
            <w:vAlign w:val="bottom"/>
          </w:tcPr>
          <w:p>
            <w:pPr>
              <w:jc w:val="right"/>
              <w:ind w:right="74"/>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r>
      <w:tr>
        <w:trPr>
          <w:trHeight w:val="168"/>
        </w:trPr>
        <w:tc>
          <w:tcPr>
            <w:tcW w:w="20" w:type="dxa"/>
            <w:vAlign w:val="bottom"/>
            <w:tcBorders>
              <w:bottom w:val="single" w:sz="8" w:color="auto"/>
            </w:tcBorders>
            <w:shd w:val="clear" w:color="auto" w:fill="000000"/>
          </w:tcPr>
          <w:p>
            <w:pPr>
              <w:spacing w:after="0"/>
              <w:rPr>
                <w:sz w:val="14"/>
                <w:szCs w:val="14"/>
                <w:color w:val="auto"/>
              </w:rPr>
            </w:pPr>
          </w:p>
        </w:tc>
        <w:tc>
          <w:tcPr>
            <w:tcW w:w="2320" w:type="dxa"/>
            <w:vAlign w:val="bottom"/>
            <w:tcBorders>
              <w:left w:val="single" w:sz="8" w:color="auto"/>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160" w:type="dxa"/>
            <w:vAlign w:val="bottom"/>
            <w:tcBorders>
              <w:bottom w:val="single" w:sz="8" w:color="CCEEFF"/>
              <w:right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Terminal capitalization rate</w:t>
            </w:r>
          </w:p>
        </w:tc>
        <w:tc>
          <w:tcPr>
            <w:tcW w:w="68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5.5</w:t>
            </w:r>
          </w:p>
        </w:tc>
        <w:tc>
          <w:tcPr>
            <w:tcW w:w="16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9.5</w:t>
            </w:r>
          </w:p>
        </w:tc>
        <w:tc>
          <w:tcPr>
            <w:tcW w:w="2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6.0</w:t>
            </w:r>
          </w:p>
        </w:tc>
        <w:tc>
          <w:tcPr>
            <w:tcW w:w="280" w:type="dxa"/>
            <w:vAlign w:val="bottom"/>
            <w:tcBorders>
              <w:bottom w:val="single" w:sz="8" w:color="auto"/>
              <w:right w:val="single" w:sz="8" w:color="CCEEFF"/>
            </w:tcBorders>
            <w:shd w:val="clear" w:color="auto" w:fill="CCEEFF"/>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Average market rent growth rate</w:t>
            </w:r>
          </w:p>
        </w:tc>
        <w:tc>
          <w:tcPr>
            <w:tcW w:w="6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2.0</w:t>
            </w:r>
          </w:p>
        </w:tc>
        <w:tc>
          <w:tcPr>
            <w:tcW w:w="16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Borders>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2.7</w:t>
            </w:r>
          </w:p>
        </w:tc>
        <w:tc>
          <w:tcPr>
            <w:tcW w:w="280" w:type="dxa"/>
            <w:vAlign w:val="bottom"/>
            <w:tcBorders>
              <w:bottom w:val="single" w:sz="8" w:color="auto"/>
            </w:tcBorders>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136"/>
        </w:trPr>
        <w:tc>
          <w:tcPr>
            <w:tcW w:w="20" w:type="dxa"/>
            <w:vAlign w:val="bottom"/>
            <w:shd w:val="clear" w:color="auto" w:fill="000000"/>
          </w:tcPr>
          <w:p>
            <w:pPr>
              <w:spacing w:after="0"/>
              <w:rPr>
                <w:sz w:val="11"/>
                <w:szCs w:val="11"/>
                <w:color w:val="auto"/>
              </w:rPr>
            </w:pPr>
          </w:p>
        </w:tc>
        <w:tc>
          <w:tcPr>
            <w:tcW w:w="2320" w:type="dxa"/>
            <w:vAlign w:val="bottom"/>
            <w:tcBorders>
              <w:lef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9"/>
              </w:rPr>
              <w:t>Discounted cash flow -</w:t>
            </w:r>
          </w:p>
        </w:tc>
        <w:tc>
          <w:tcPr>
            <w:tcW w:w="160" w:type="dxa"/>
            <w:vAlign w:val="bottom"/>
            <w:tcBorders>
              <w:right w:val="single" w:sz="8" w:color="auto"/>
            </w:tcBorders>
            <w:shd w:val="clear" w:color="auto" w:fill="CCEEFF"/>
          </w:tcPr>
          <w:p>
            <w:pPr>
              <w:spacing w:after="0"/>
              <w:rPr>
                <w:sz w:val="11"/>
                <w:szCs w:val="11"/>
                <w:color w:val="auto"/>
              </w:rPr>
            </w:pPr>
          </w:p>
        </w:tc>
        <w:tc>
          <w:tcPr>
            <w:tcW w:w="19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Loan to value</w:t>
            </w:r>
          </w:p>
        </w:tc>
        <w:tc>
          <w:tcPr>
            <w:tcW w:w="840" w:type="dxa"/>
            <w:vAlign w:val="bottom"/>
            <w:gridSpan w:val="3"/>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46.4 %</w:t>
            </w:r>
          </w:p>
        </w:tc>
        <w:tc>
          <w:tcPr>
            <w:tcW w:w="320" w:type="dxa"/>
            <w:vAlign w:val="bottom"/>
            <w:shd w:val="clear" w:color="auto" w:fill="CCEEFF"/>
          </w:tcPr>
          <w:p>
            <w:pPr>
              <w:jc w:val="center"/>
              <w:ind w:right="74"/>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34"/>
              <w:spacing w:after="0" w:line="137" w:lineRule="exact"/>
              <w:rPr>
                <w:sz w:val="20"/>
                <w:szCs w:val="20"/>
                <w:color w:val="auto"/>
              </w:rPr>
            </w:pPr>
            <w:r>
              <w:rPr>
                <w:rFonts w:ascii="Times New Roman" w:cs="Times New Roman" w:eastAsia="Times New Roman" w:hAnsi="Times New Roman"/>
                <w:sz w:val="13"/>
                <w:szCs w:val="13"/>
                <w:color w:val="auto"/>
              </w:rPr>
              <w:t>69.5 %</w:t>
            </w:r>
          </w:p>
        </w:tc>
        <w:tc>
          <w:tcPr>
            <w:tcW w:w="18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shd w:val="clear" w:color="auto" w:fill="CCEEFF"/>
          </w:tcPr>
          <w:p>
            <w:pPr>
              <w:jc w:val="right"/>
              <w:ind w:right="74"/>
              <w:spacing w:after="0" w:line="137" w:lineRule="exact"/>
              <w:rPr>
                <w:sz w:val="20"/>
                <w:szCs w:val="20"/>
                <w:color w:val="auto"/>
              </w:rPr>
            </w:pPr>
            <w:r>
              <w:rPr>
                <w:rFonts w:ascii="Times New Roman" w:cs="Times New Roman" w:eastAsia="Times New Roman" w:hAnsi="Times New Roman"/>
                <w:sz w:val="13"/>
                <w:szCs w:val="13"/>
                <w:color w:val="auto"/>
              </w:rPr>
              <w:t>59.2 %</w:t>
            </w:r>
          </w:p>
        </w:tc>
        <w:tc>
          <w:tcPr>
            <w:tcW w:w="20" w:type="dxa"/>
            <w:vAlign w:val="bottom"/>
            <w:shd w:val="clear" w:color="auto" w:fill="000000"/>
          </w:tcPr>
          <w:p>
            <w:pPr>
              <w:spacing w:after="0"/>
              <w:rPr>
                <w:sz w:val="11"/>
                <w:szCs w:val="11"/>
                <w:color w:val="auto"/>
              </w:rPr>
            </w:pPr>
          </w:p>
        </w:tc>
      </w:tr>
      <w:tr>
        <w:trPr>
          <w:trHeight w:val="168"/>
        </w:trPr>
        <w:tc>
          <w:tcPr>
            <w:tcW w:w="20" w:type="dxa"/>
            <w:vAlign w:val="bottom"/>
            <w:tcBorders>
              <w:bottom w:val="single" w:sz="8" w:color="auto"/>
            </w:tcBorders>
            <w:shd w:val="clear" w:color="auto" w:fill="000000"/>
          </w:tcPr>
          <w:p>
            <w:pPr>
              <w:spacing w:after="0"/>
              <w:rPr>
                <w:sz w:val="14"/>
                <w:szCs w:val="14"/>
                <w:color w:val="auto"/>
              </w:rPr>
            </w:pPr>
          </w:p>
        </w:tc>
        <w:tc>
          <w:tcPr>
            <w:tcW w:w="2320" w:type="dxa"/>
            <w:vAlign w:val="bottom"/>
            <w:tcBorders>
              <w:lef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 debt</w:t>
            </w:r>
          </w:p>
        </w:tc>
        <w:tc>
          <w:tcPr>
            <w:tcW w:w="160" w:type="dxa"/>
            <w:vAlign w:val="bottom"/>
            <w:tcBorders>
              <w:right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Market interest rate</w:t>
            </w:r>
          </w:p>
        </w:tc>
        <w:tc>
          <w:tcPr>
            <w:tcW w:w="68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4.9</w:t>
            </w:r>
          </w:p>
        </w:tc>
        <w:tc>
          <w:tcPr>
            <w:tcW w:w="16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7.2</w:t>
            </w:r>
          </w:p>
        </w:tc>
        <w:tc>
          <w:tcPr>
            <w:tcW w:w="220" w:type="dxa"/>
            <w:vAlign w:val="bottom"/>
            <w:tcBorders>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6.1</w:t>
            </w:r>
          </w:p>
        </w:tc>
        <w:tc>
          <w:tcPr>
            <w:tcW w:w="280" w:type="dxa"/>
            <w:vAlign w:val="bottom"/>
            <w:tcBorders>
              <w:bottom w:val="single" w:sz="8" w:color="auto"/>
            </w:tcBorders>
          </w:tcPr>
          <w:p>
            <w:pPr>
              <w:jc w:val="right"/>
              <w:ind w:right="74"/>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000000"/>
          </w:tcPr>
          <w:p>
            <w:pPr>
              <w:spacing w:after="0"/>
              <w:rPr>
                <w:sz w:val="12"/>
                <w:szCs w:val="12"/>
                <w:color w:val="auto"/>
              </w:rPr>
            </w:pPr>
          </w:p>
        </w:tc>
      </w:tr>
      <w:tr>
        <w:trPr>
          <w:trHeight w:val="340"/>
        </w:trPr>
        <w:tc>
          <w:tcPr>
            <w:tcW w:w="2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Investment and universal life contracts (4)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(578.4)</w:t>
            </w:r>
          </w:p>
        </w:tc>
        <w:tc>
          <w:tcPr>
            <w:tcW w:w="160" w:type="dxa"/>
            <w:vAlign w:val="bottom"/>
            <w:tcBorders>
              <w:bottom w:val="single" w:sz="8" w:color="CCEEFF"/>
              <w:right w:val="single" w:sz="8" w:color="auto"/>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Discounted cash flow</w:t>
            </w:r>
          </w:p>
        </w:tc>
        <w:tc>
          <w:tcPr>
            <w:tcW w:w="160" w:type="dxa"/>
            <w:vAlign w:val="bottom"/>
            <w:tcBorders>
              <w:bottom w:val="single" w:sz="8" w:color="CCEEFF"/>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Long duration interest rate</w:t>
            </w:r>
          </w:p>
        </w:tc>
        <w:tc>
          <w:tcPr>
            <w:tcW w:w="840" w:type="dxa"/>
            <w:vAlign w:val="bottom"/>
            <w:tcBorders>
              <w:bottom w:val="single" w:sz="8" w:color="auto"/>
            </w:tcBorders>
            <w:gridSpan w:val="3"/>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3.0 %</w:t>
            </w:r>
          </w:p>
        </w:tc>
        <w:tc>
          <w:tcPr>
            <w:tcW w:w="320" w:type="dxa"/>
            <w:vAlign w:val="bottom"/>
            <w:tcBorders>
              <w:bottom w:val="single" w:sz="8" w:color="auto"/>
            </w:tcBorders>
            <w:shd w:val="clear" w:color="auto" w:fill="CCEEFF"/>
          </w:tcPr>
          <w:p>
            <w:pPr>
              <w:jc w:val="right"/>
              <w:ind w:right="19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gridSpan w:val="3"/>
            <w:shd w:val="clear" w:color="auto" w:fill="CCEEFF"/>
          </w:tcPr>
          <w:p>
            <w:pPr>
              <w:jc w:val="right"/>
              <w:ind w:right="160"/>
              <w:spacing w:after="0" w:line="148" w:lineRule="exact"/>
              <w:rPr>
                <w:sz w:val="20"/>
                <w:szCs w:val="20"/>
                <w:color w:val="auto"/>
              </w:rPr>
            </w:pPr>
            <w:r>
              <w:rPr>
                <w:rFonts w:ascii="Times New Roman" w:cs="Times New Roman" w:eastAsia="Times New Roman" w:hAnsi="Times New Roman"/>
                <w:sz w:val="13"/>
                <w:szCs w:val="13"/>
                <w:color w:val="auto"/>
              </w:rPr>
              <w:t>4.9 % (2)</w:t>
            </w:r>
          </w:p>
        </w:tc>
        <w:tc>
          <w:tcPr>
            <w:tcW w:w="680" w:type="dxa"/>
            <w:vAlign w:val="bottom"/>
            <w:tcBorders>
              <w:bottom w:val="single" w:sz="8" w:color="auto"/>
              <w:right w:val="single" w:sz="8" w:color="auto"/>
            </w:tcBorders>
            <w:gridSpan w:val="2"/>
            <w:shd w:val="clear" w:color="auto" w:fill="CCEEFF"/>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rPr>
              <w:t>4.8 %</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Long-term equity market volatility</w:t>
            </w:r>
          </w:p>
        </w:tc>
        <w:tc>
          <w:tcPr>
            <w:tcW w:w="840" w:type="dxa"/>
            <w:vAlign w:val="bottom"/>
            <w:tcBorders>
              <w:bottom w:val="single" w:sz="8" w:color="auto"/>
            </w:tcBorders>
            <w:gridSpan w:val="3"/>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14.5 %</w:t>
            </w:r>
          </w:p>
        </w:tc>
        <w:tc>
          <w:tcPr>
            <w:tcW w:w="320" w:type="dxa"/>
            <w:vAlign w:val="bottom"/>
            <w:tcBorders>
              <w:bottom w:val="single" w:sz="8" w:color="auto"/>
            </w:tcBorders>
          </w:tcPr>
          <w:p>
            <w:pPr>
              <w:jc w:val="right"/>
              <w:ind w:right="19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gridSpan w:val="2"/>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49.3 %</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rPr>
              <w:t>21.4 %</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Nonperformance risk</w:t>
            </w:r>
          </w:p>
        </w:tc>
        <w:tc>
          <w:tcPr>
            <w:tcW w:w="840" w:type="dxa"/>
            <w:vAlign w:val="bottom"/>
            <w:tcBorders>
              <w:bottom w:val="single" w:sz="8" w:color="auto"/>
            </w:tcBorders>
            <w:gridSpan w:val="3"/>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0.4 %</w:t>
            </w:r>
          </w:p>
        </w:tc>
        <w:tc>
          <w:tcPr>
            <w:tcW w:w="320" w:type="dxa"/>
            <w:vAlign w:val="bottom"/>
            <w:tcBorders>
              <w:bottom w:val="single" w:sz="8" w:color="auto"/>
            </w:tcBorders>
            <w:shd w:val="clear" w:color="auto" w:fill="CCEEFF"/>
          </w:tcPr>
          <w:p>
            <w:pPr>
              <w:jc w:val="right"/>
              <w:ind w:right="19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gridSpan w:val="2"/>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1.1 %</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gridSpan w:val="2"/>
            <w:shd w:val="clear" w:color="auto" w:fill="CCEEFF"/>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rPr>
              <w:t>0.8 %</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right w:val="single" w:sz="8" w:color="auto"/>
            </w:tcBorders>
          </w:tcPr>
          <w:p>
            <w:pPr>
              <w:spacing w:after="0"/>
              <w:rPr>
                <w:sz w:val="12"/>
                <w:szCs w:val="12"/>
                <w:color w:val="auto"/>
              </w:rPr>
            </w:pPr>
          </w:p>
        </w:tc>
        <w:tc>
          <w:tcPr>
            <w:tcW w:w="19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Lapse rate</w:t>
            </w:r>
          </w:p>
        </w:tc>
        <w:tc>
          <w:tcPr>
            <w:tcW w:w="840" w:type="dxa"/>
            <w:vAlign w:val="bottom"/>
            <w:tcBorders>
              <w:bottom w:val="single" w:sz="8" w:color="auto"/>
            </w:tcBorders>
            <w:gridSpan w:val="3"/>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0.0 %</w:t>
            </w:r>
          </w:p>
        </w:tc>
        <w:tc>
          <w:tcPr>
            <w:tcW w:w="320" w:type="dxa"/>
            <w:vAlign w:val="bottom"/>
            <w:tcBorders>
              <w:bottom w:val="single" w:sz="8" w:color="auto"/>
            </w:tcBorders>
          </w:tcPr>
          <w:p>
            <w:pPr>
              <w:jc w:val="right"/>
              <w:ind w:right="19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gridSpan w:val="2"/>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55.0 %</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jc w:val="right"/>
              <w:ind w:right="114"/>
              <w:spacing w:after="0" w:line="148" w:lineRule="exact"/>
              <w:rPr>
                <w:sz w:val="20"/>
                <w:szCs w:val="20"/>
                <w:color w:val="auto"/>
              </w:rPr>
            </w:pPr>
            <w:r>
              <w:rPr>
                <w:rFonts w:ascii="Times New Roman" w:cs="Times New Roman" w:eastAsia="Times New Roman" w:hAnsi="Times New Roman"/>
                <w:sz w:val="13"/>
                <w:szCs w:val="13"/>
                <w:color w:val="auto"/>
              </w:rPr>
              <w:t>8.5 %</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auto"/>
            </w:tcBorders>
            <w:shd w:val="clear" w:color="auto" w:fill="000000"/>
          </w:tcPr>
          <w:p>
            <w:pPr>
              <w:spacing w:after="0"/>
              <w:rPr>
                <w:sz w:val="12"/>
                <w:szCs w:val="12"/>
                <w:color w:val="auto"/>
              </w:rPr>
            </w:pPr>
          </w:p>
        </w:tc>
        <w:tc>
          <w:tcPr>
            <w:tcW w:w="2320" w:type="dxa"/>
            <w:vAlign w:val="bottom"/>
            <w:tcBorders>
              <w:left w:val="single" w:sz="8" w:color="CCEEFF"/>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Mortality rate</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3"/>
            <w:shd w:val="clear" w:color="auto" w:fill="CCEEFF"/>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See note (3)</w:t>
            </w:r>
          </w:p>
        </w:tc>
        <w:tc>
          <w:tcPr>
            <w:tcW w:w="2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88"/>
        </w:trPr>
        <w:tc>
          <w:tcPr>
            <w:tcW w:w="20" w:type="dxa"/>
            <w:vAlign w:val="bottom"/>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0" w:lineRule="exact"/>
        <w:rPr>
          <w:sz w:val="20"/>
          <w:szCs w:val="20"/>
          <w:color w:val="auto"/>
        </w:rPr>
      </w:pPr>
    </w:p>
    <w:p>
      <w:pPr>
        <w:ind w:left="300" w:right="60" w:hanging="282"/>
        <w:spacing w:after="0" w:line="261" w:lineRule="auto"/>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market comparable interest rate or an index adjusted rate used as the base rate in the discounted cash flow analysis prior to any illiquidity or other adjustments, where applicable.</w:t>
      </w:r>
    </w:p>
    <w:p>
      <w:pPr>
        <w:ind w:left="300" w:right="380" w:hanging="282"/>
        <w:spacing w:after="0" w:line="250" w:lineRule="auto"/>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range of rate curves used in the valuation analysis that we have determined market participants would use when pricing the instrument. Derived from interpolation between various observable swap rates.</w:t>
      </w:r>
    </w:p>
    <w:p>
      <w:pPr>
        <w:ind w:left="300" w:hanging="282"/>
        <w:spacing w:after="0"/>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input is based on an appropriate industry mortality table and a range does not provide a meaningful presentation.</w:t>
      </w:r>
    </w:p>
    <w:p>
      <w:pPr>
        <w:spacing w:after="0" w:line="6" w:lineRule="exact"/>
        <w:rPr>
          <w:rFonts w:ascii="Times New Roman" w:cs="Times New Roman" w:eastAsia="Times New Roman" w:hAnsi="Times New Roman"/>
          <w:sz w:val="13"/>
          <w:szCs w:val="13"/>
          <w:color w:val="auto"/>
        </w:rPr>
      </w:pPr>
    </w:p>
    <w:p>
      <w:pPr>
        <w:ind w:left="300" w:right="60" w:hanging="282"/>
        <w:spacing w:after="0" w:line="263" w:lineRule="auto"/>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bifurcated embedded derivatives that are reported at net asset (liability) fair value within the same line item in the consolidated statements of financial position in which the host contract is reported.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310515</wp:posOffset>
            </wp:positionV>
            <wp:extent cx="591502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60" w:top="557" w:right="1280" w:bottom="1440" w:gutter="0" w:footer="0" w:header="0"/>
        </w:sectPr>
      </w:pPr>
    </w:p>
    <w:bookmarkStart w:id="92" w:name="page93"/>
    <w:bookmarkEnd w:id="9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Market comparable discount rates are used as the base rate in the discounted cash flows used to determine the fair value of certain assets. The use of a higher or lower discount rate would have caused the fair value of the assets to significantly decrease or increase, respectively. Additionally, we may adjust the base discount rate or the modeled price by applying an illiquidity premium given the highly structured nature of certain assets. The use of a higher or lower illiquidity premium would have caused significant decreases or increases, respectively, in the fair value of the asset.</w:t>
      </w:r>
    </w:p>
    <w:p>
      <w:pPr>
        <w:spacing w:after="0" w:line="145"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Embedded derivatives within our investment and universal life contracts liability can be in either an asset or liability position, depending on certain inputs at the reporting date. Increases to an asset or decreases to a liability are described as increases to fair value. The use of a higher or lower market volatility would have caused significant decreases or increases, respectively, in the fair value of embedded derivatives in investment and universal life contracts. Long duration interest rates are used as the mean return when projecting the growth in the value of associated account value and impact the discount rate used in the discounted future cash flows valuation. The use of higher or lower risk-free rates would have caused the fair value of the embedded derivative to significantly increase or decrease, respectively. The use of a higher or lower rate for our own credit risks, which impact the rates used to discount future cash flows, would have significantly increased or decreased, respectively, the fair value of the embedded derivative. The use of a lower or higher mortality rate assumption would have caused the fair value of the embedded derivative to decrease or increase, respectively. The use of a lower or higher overall lapse rate assumption would have caused the fair value of the embedded derivative to decrease or increase,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 and Liabilities Measured at Fair Value on a Nonrecurring Basis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significant assets and liabilities were measured at fair value on a nonrecurring basis for the three months ended March 31, 2025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Option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elected fair value accounting for:</w:t>
      </w:r>
    </w:p>
    <w:p>
      <w:pPr>
        <w:spacing w:after="0" w:line="164" w:lineRule="exact"/>
        <w:rPr>
          <w:sz w:val="20"/>
          <w:szCs w:val="20"/>
          <w:color w:val="auto"/>
        </w:rPr>
      </w:pPr>
    </w:p>
    <w:p>
      <w:pPr>
        <w:ind w:left="860" w:right="40" w:hanging="286"/>
        <w:spacing w:after="0" w:line="259" w:lineRule="auto"/>
        <w:tabs>
          <w:tab w:leader="none" w:pos="8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other loans of a consolidated VIE that were subject to amortized cost accounting and a valuation allowance so that credit losses are recognized within the changes in fair value in the consolidated statements of operations.</w:t>
      </w:r>
    </w:p>
    <w:p>
      <w:pPr>
        <w:spacing w:after="0" w:line="131" w:lineRule="exact"/>
        <w:rPr>
          <w:rFonts w:ascii="Times New Roman" w:cs="Times New Roman" w:eastAsia="Times New Roman" w:hAnsi="Times New Roman"/>
          <w:sz w:val="16"/>
          <w:szCs w:val="16"/>
          <w:color w:val="auto"/>
        </w:rPr>
      </w:pPr>
    </w:p>
    <w:p>
      <w:pPr>
        <w:ind w:left="860" w:right="260" w:hanging="286"/>
        <w:spacing w:after="0" w:line="247" w:lineRule="auto"/>
        <w:tabs>
          <w:tab w:leader="none" w:pos="8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mortgage loans and long-term debt of a consolidated VIE to provide alignment between the consolidated VIE’s financial reporting and the calculation of net asset value per share used to determine the prices at which investors could purchase and redeem shares of the entity’s stock. The consolidated VIE was deconsolidated during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93" w:name="page94"/>
    <w:bookmarkEnd w:id="93"/>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presents information regarding the assets and liabilities for which the fair value option was elected.</w:t>
      </w:r>
    </w:p>
    <w:p>
      <w:pPr>
        <w:spacing w:after="0" w:line="175"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560" w:type="dxa"/>
            <w:vAlign w:val="bottom"/>
            <w:gridSpan w:val="3"/>
          </w:tcPr>
          <w:p>
            <w:pPr>
              <w:jc w:val="right"/>
              <w:ind w:right="1024"/>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r>
      <w:tr>
        <w:trPr>
          <w:trHeight w:val="180"/>
        </w:trPr>
        <w:tc>
          <w:tcPr>
            <w:tcW w:w="45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Mortgage loans of consolidated VIE (1)</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45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Fair value (1)</w:t>
            </w:r>
          </w:p>
        </w:tc>
        <w:tc>
          <w:tcPr>
            <w:tcW w:w="20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w:t>
            </w:r>
          </w:p>
        </w:tc>
      </w:tr>
      <w:tr>
        <w:trPr>
          <w:trHeight w:val="180"/>
        </w:trPr>
        <w:tc>
          <w:tcPr>
            <w:tcW w:w="45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Aggregate contractual principal</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w:t>
            </w:r>
          </w:p>
        </w:tc>
      </w:tr>
      <w:tr>
        <w:trPr>
          <w:trHeight w:val="180"/>
        </w:trPr>
        <w:tc>
          <w:tcPr>
            <w:tcW w:w="2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loans of consolidated VIE (2)</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45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Fair value (2)</w:t>
            </w:r>
          </w:p>
        </w:tc>
        <w:tc>
          <w:tcPr>
            <w:tcW w:w="20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116.8</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129.0</w:t>
            </w:r>
          </w:p>
        </w:tc>
      </w:tr>
      <w:tr>
        <w:trPr>
          <w:trHeight w:val="180"/>
        </w:trPr>
        <w:tc>
          <w:tcPr>
            <w:tcW w:w="45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Aggregate contractual principal</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139.9</w:t>
            </w:r>
          </w:p>
        </w:tc>
      </w:tr>
      <w:tr>
        <w:trPr>
          <w:trHeight w:val="180"/>
        </w:trPr>
        <w:tc>
          <w:tcPr>
            <w:tcW w:w="2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5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Long-term debt of consolidated VIE (1)</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45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Fair value (1)</w:t>
            </w:r>
          </w:p>
        </w:tc>
        <w:tc>
          <w:tcPr>
            <w:tcW w:w="20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r>
      <w:tr>
        <w:trPr>
          <w:trHeight w:val="180"/>
        </w:trPr>
        <w:tc>
          <w:tcPr>
            <w:tcW w:w="45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Aggregate contractual principal</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r>
      <w:tr>
        <w:trPr>
          <w:trHeight w:val="96"/>
        </w:trPr>
        <w:tc>
          <w:tcPr>
            <w:tcW w:w="23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59" w:lineRule="exact"/>
        <w:rPr>
          <w:sz w:val="20"/>
          <w:szCs w:val="20"/>
          <w:color w:val="auto"/>
        </w:rPr>
      </w:pPr>
    </w:p>
    <w:p>
      <w:pPr>
        <w:ind w:left="282" w:right="60" w:hanging="282"/>
        <w:spacing w:after="0" w:line="242" w:lineRule="auto"/>
        <w:tabs>
          <w:tab w:leader="none" w:pos="28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and liabilities from consolidated VIE, which are reported as mortgage loans and long-term debt on the consolidated statements of financial position, originated in December 2024 with no change in fair value recognized due to timing of origination. The consolidated VIE was deconsolidated during first quarter 2025 with no change in fair value recognized due to timing of the deconsolidation.</w:t>
      </w:r>
    </w:p>
    <w:p>
      <w:pPr>
        <w:spacing w:after="0" w:line="1" w:lineRule="exact"/>
        <w:rPr>
          <w:rFonts w:ascii="Times New Roman" w:cs="Times New Roman" w:eastAsia="Times New Roman" w:hAnsi="Times New Roman"/>
          <w:sz w:val="16"/>
          <w:szCs w:val="16"/>
          <w:color w:val="auto"/>
        </w:rPr>
      </w:pPr>
    </w:p>
    <w:p>
      <w:pPr>
        <w:ind w:left="282" w:right="480" w:hanging="282"/>
        <w:spacing w:after="0" w:line="238" w:lineRule="auto"/>
        <w:tabs>
          <w:tab w:leader="none" w:pos="28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 other investments on the consolidated statements of financial position. See Note 4, Investments, for additional information relating to other loans more than 90 days past due or in non-accrual status.</w:t>
      </w:r>
    </w:p>
    <w:p>
      <w:pPr>
        <w:spacing w:after="0" w:line="157" w:lineRule="exact"/>
        <w:rPr>
          <w:sz w:val="20"/>
          <w:szCs w:val="20"/>
          <w:color w:val="auto"/>
        </w:rPr>
      </w:pPr>
    </w:p>
    <w:p>
      <w:pPr>
        <w:ind w:left="2" w:right="4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regarding the consolidated statements of operations impact of assets for which the fair value option was elected.</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400" w:type="dxa"/>
            <w:vAlign w:val="bottom"/>
            <w:tcBorders>
              <w:bottom w:val="single" w:sz="8" w:color="auto"/>
            </w:tcBorders>
          </w:tcPr>
          <w:p>
            <w:pPr>
              <w:spacing w:after="0"/>
              <w:rPr>
                <w:sz w:val="14"/>
                <w:szCs w:val="14"/>
                <w:color w:val="auto"/>
              </w:rPr>
            </w:pPr>
          </w:p>
        </w:tc>
      </w:tr>
      <w:tr>
        <w:trPr>
          <w:trHeight w:val="148"/>
        </w:trPr>
        <w:tc>
          <w:tcPr>
            <w:tcW w:w="6220" w:type="dxa"/>
            <w:vAlign w:val="bottom"/>
          </w:tcPr>
          <w:p>
            <w:pPr>
              <w:spacing w:after="0"/>
              <w:rPr>
                <w:sz w:val="12"/>
                <w:szCs w:val="12"/>
                <w:color w:val="auto"/>
              </w:rPr>
            </w:pPr>
          </w:p>
        </w:tc>
        <w:tc>
          <w:tcPr>
            <w:tcW w:w="960" w:type="dxa"/>
            <w:vAlign w:val="bottom"/>
            <w:tcBorders>
              <w:bottom w:val="single" w:sz="8" w:color="auto"/>
            </w:tcBorders>
          </w:tcPr>
          <w:p>
            <w:pPr>
              <w:jc w:val="right"/>
              <w:ind w:right="7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bottom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2"/>
                <w:szCs w:val="12"/>
                <w:color w:val="auto"/>
              </w:rPr>
            </w:pPr>
          </w:p>
        </w:tc>
      </w:tr>
      <w:tr>
        <w:trPr>
          <w:trHeight w:val="136"/>
        </w:trPr>
        <w:tc>
          <w:tcPr>
            <w:tcW w:w="6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360" w:type="dxa"/>
            <w:vAlign w:val="bottom"/>
            <w:gridSpan w:val="2"/>
          </w:tcPr>
          <w:p>
            <w:pPr>
              <w:jc w:val="right"/>
              <w:ind w:right="774"/>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400" w:type="dxa"/>
            <w:vAlign w:val="bottom"/>
          </w:tcPr>
          <w:p>
            <w:pPr>
              <w:spacing w:after="0"/>
              <w:rPr>
                <w:sz w:val="11"/>
                <w:szCs w:val="11"/>
                <w:color w:val="auto"/>
              </w:rPr>
            </w:pPr>
          </w:p>
        </w:tc>
      </w:tr>
      <w:tr>
        <w:trPr>
          <w:trHeight w:val="180"/>
        </w:trPr>
        <w:tc>
          <w:tcPr>
            <w:tcW w:w="6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loans of consolidated VIE</w:t>
            </w: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80"/>
        </w:trPr>
        <w:tc>
          <w:tcPr>
            <w:tcW w:w="6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 in fair value pre-tax gain (loss) - instrument specific credit risk</w:t>
            </w:r>
          </w:p>
        </w:tc>
        <w:tc>
          <w:tcPr>
            <w:tcW w:w="960" w:type="dxa"/>
            <w:vAlign w:val="bottom"/>
          </w:tcPr>
          <w:p>
            <w:pPr>
              <w:jc w:val="right"/>
              <w:ind w:right="81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360" w:type="dxa"/>
            <w:vAlign w:val="bottom"/>
            <w:gridSpan w:val="2"/>
          </w:tcPr>
          <w:p>
            <w:pPr>
              <w:jc w:val="right"/>
              <w:ind w:right="8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(5.3)</w:t>
            </w:r>
          </w:p>
        </w:tc>
      </w:tr>
      <w:tr>
        <w:trPr>
          <w:trHeight w:val="180"/>
        </w:trPr>
        <w:tc>
          <w:tcPr>
            <w:tcW w:w="62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 in fair value pre-tax gain (loss) (1)</w:t>
            </w: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(5.3)</w:t>
            </w:r>
          </w:p>
        </w:tc>
      </w:tr>
      <w:tr>
        <w:trPr>
          <w:trHeight w:val="205"/>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 (2)</w:t>
            </w: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4789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22" w:lineRule="exact"/>
        <w:rPr>
          <w:sz w:val="20"/>
          <w:szCs w:val="20"/>
          <w:color w:val="auto"/>
        </w:rPr>
      </w:pPr>
    </w:p>
    <w:p>
      <w:pPr>
        <w:ind w:left="282" w:hanging="282"/>
        <w:spacing w:after="0"/>
        <w:tabs>
          <w:tab w:leader="none" w:pos="2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net realized capital gains (losses) on the consolidated statements of operations.</w:t>
      </w:r>
    </w:p>
    <w:p>
      <w:pPr>
        <w:spacing w:after="0" w:line="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net investment income on the consolidated statements of operations and recorded based on the effective interest rate of the loans.</w:t>
      </w: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94" w:name="page95"/>
    <w:bookmarkEnd w:id="94"/>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Financial Instruments Not Reported at Fair Value</w:t>
      </w:r>
    </w:p>
    <w:p>
      <w:pPr>
        <w:spacing w:after="0" w:line="190" w:lineRule="exact"/>
        <w:rPr>
          <w:sz w:val="20"/>
          <w:szCs w:val="20"/>
          <w:color w:val="auto"/>
        </w:rPr>
      </w:pPr>
    </w:p>
    <w:p>
      <w:pPr>
        <w:ind w:left="2" w:right="520" w:firstLine="576"/>
        <w:spacing w:after="0" w:line="259" w:lineRule="auto"/>
        <w:rPr>
          <w:sz w:val="20"/>
          <w:szCs w:val="20"/>
          <w:color w:val="auto"/>
        </w:rPr>
      </w:pPr>
      <w:r>
        <w:rPr>
          <w:rFonts w:ascii="Times New Roman" w:cs="Times New Roman" w:eastAsia="Times New Roman" w:hAnsi="Times New Roman"/>
          <w:sz w:val="16"/>
          <w:szCs w:val="16"/>
          <w:color w:val="auto"/>
        </w:rPr>
        <w:t>The carrying value and estimated fair value of financial instruments not recorded at fair value on a recurring basis but required to be disclosed at fair value were as follows: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Fair value hierarchy level</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
              <w:spacing w:after="0" w:line="148"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83"/>
              <w:spacing w:after="0" w:line="14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 (liabilities)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9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20,260.6</w:t>
            </w:r>
          </w:p>
        </w:tc>
        <w:tc>
          <w:tcPr>
            <w:tcW w:w="20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18,726.8</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18,726.8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875.7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915.2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286.6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119.3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1,285.9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1,285.9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1,263.1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Reinsurance deposit receivable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4,699.9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collateral receivable</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(34,030.4)</w:t>
            </w:r>
          </w:p>
        </w:tc>
        <w:tc>
          <w:tcPr>
            <w:tcW w:w="16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(33,136.1)</w:t>
            </w: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Short-term debt</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(28.9)</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(28.9)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(28.9)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(4,321.3)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(4,134.6)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(4,132.1)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Separate account liabilities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(156,544.1)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(155,640.1)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(155,640.1)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Bank deposits (1)</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(440.9)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collateral payable</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(402.8)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(402.8)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(402.8)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Fair value hierarchy level</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
              <w:spacing w:after="0" w:line="148"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83"/>
              <w:spacing w:after="0" w:line="14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 (liabilities)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9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20,343.6</w:t>
            </w:r>
          </w:p>
        </w:tc>
        <w:tc>
          <w:tcPr>
            <w:tcW w:w="20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18,466.5</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18,466.5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867.5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879.3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1,261.4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1,261.4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1,238.5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Reinsurance deposit receivable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4,897.5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collateral receivable</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contracts</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(34,140.3)</w:t>
            </w:r>
          </w:p>
        </w:tc>
        <w:tc>
          <w:tcPr>
            <w:tcW w:w="160" w:type="dxa"/>
            <w:vAlign w:val="bottom"/>
          </w:tcPr>
          <w:p>
            <w:pPr>
              <w:spacing w:after="0"/>
              <w:rPr>
                <w:sz w:val="15"/>
                <w:szCs w:val="15"/>
                <w:color w:val="auto"/>
              </w:rPr>
            </w:pPr>
          </w:p>
        </w:tc>
        <w:tc>
          <w:tcPr>
            <w:tcW w:w="11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(32,922.2)</w:t>
            </w: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(8,306.5)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Short-term debt</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(3,933.5)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(3,715.7)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Separate account liabilities</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(157,939.3)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(157,010.7)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Bank deposits (1)</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collateral payable</w:t>
            </w: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3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hanging="282"/>
        <w:spacing w:after="0"/>
        <w:tabs>
          <w:tab w:leader="none" w:pos="28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deposit liabilities without defined or contractual maturities.</w:t>
      </w:r>
    </w:p>
    <w:p>
      <w:pPr>
        <w:spacing w:after="0" w:line="200" w:lineRule="exact"/>
        <w:rPr>
          <w:rFonts w:ascii="Times New Roman" w:cs="Times New Roman" w:eastAsia="Times New Roman" w:hAnsi="Times New Roman"/>
          <w:sz w:val="16"/>
          <w:szCs w:val="16"/>
          <w:color w:val="auto"/>
        </w:rPr>
      </w:pPr>
    </w:p>
    <w:p>
      <w:pPr>
        <w:spacing w:after="0" w:line="360" w:lineRule="exact"/>
        <w:rPr>
          <w:rFonts w:ascii="Times New Roman" w:cs="Times New Roman" w:eastAsia="Times New Roman" w:hAnsi="Times New Roman"/>
          <w:sz w:val="16"/>
          <w:szCs w:val="16"/>
          <w:color w:val="auto"/>
        </w:rPr>
      </w:pPr>
    </w:p>
    <w:p>
      <w:pPr>
        <w:ind w:left="45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95" w:name="page96"/>
    <w:bookmarkEnd w:id="9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 Information</w:t>
      </w:r>
    </w:p>
    <w:p>
      <w:pPr>
        <w:spacing w:after="0" w:line="190" w:lineRule="exact"/>
        <w:rPr>
          <w:sz w:val="20"/>
          <w:szCs w:val="20"/>
          <w:color w:val="auto"/>
        </w:rPr>
      </w:pPr>
    </w:p>
    <w:p>
      <w:pPr>
        <w:ind w:right="260" w:firstLine="576"/>
        <w:spacing w:after="0" w:line="247" w:lineRule="auto"/>
        <w:rPr>
          <w:sz w:val="20"/>
          <w:szCs w:val="20"/>
          <w:color w:val="auto"/>
        </w:rPr>
      </w:pPr>
      <w:r>
        <w:rPr>
          <w:rFonts w:ascii="Times New Roman" w:cs="Times New Roman" w:eastAsia="Times New Roman" w:hAnsi="Times New Roman"/>
          <w:sz w:val="16"/>
          <w:szCs w:val="16"/>
          <w:color w:val="auto"/>
        </w:rPr>
        <w:t>We provide financial products and services through the following segments: Retirement and Income Solutions, Principal Asset Management and Benefits and Protection. In addition, we have a Corporate segment. The segments are managed and reported separately because they provide different products and services, have different strategies or have different markets and distribution channels.</w:t>
      </w:r>
    </w:p>
    <w:p>
      <w:pPr>
        <w:spacing w:after="0" w:line="164"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Retirement and Income Solutions segment provides retirement and related financial products and services primarily to businesses, their employees and other individuals. The segment includes workplace savings and retirement solutions, banking, trust and custodial services, individual variable annuities (including RILAs), pension risk transfer, investment only and our exited retail fixed annuities business.</w:t>
      </w:r>
    </w:p>
    <w:p>
      <w:pPr>
        <w:spacing w:after="0" w:line="164"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The Principal Asset Management segment provides global investment solutions to institutional, retirement, retail and high net worth investors in the U.S. and select emerging markets. The segment is organized into Investment Management, which provides public, multi- asset and private market capabilities across all asset classes, including equity, fixed income, real estate and alternatives, to serve a breadth of client investment objectives; and International Pension, which provides long-term savings and retirement solutions through pension accumulation and income annuities in Asia and Latin America.</w:t>
      </w:r>
    </w:p>
    <w:p>
      <w:pPr>
        <w:spacing w:after="0" w:line="169"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The Benefits and Protection segment focuses on solutions primarily for small-to-mid sized businesses and their employees. The segment is organized into Specialty Benefits, which provides group dental, group life insurance, group disability insurance (including short- term disability, long-term disability and paid family and medical leave), supplemental health products (including vision, critical illness, accident and hospital indemnity) and individual disability insurance; and Life Insurance, which provides life insurance focused on the business market customer, including universal life and variable universal life (including indexed universal life) and traditional life insurance (including term life insurance). All remaining customers are part of the legacy life block of business, including universal and variable universal life insurance (including indexed universal life), traditional life insurance (including participating whole life, adjustable life products and term life insurance) and our exited ULSG business.</w:t>
      </w:r>
    </w:p>
    <w:p>
      <w:pPr>
        <w:spacing w:after="0" w:line="173"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Our Corporate segment manages the assets representing capital that has not been allocated to any other segment. Financial results of the Corporate segment primarily reflect our financing activities (including financing costs), income on capital not allocated to other segments, inter-segment eliminations, income tax risks and certain income, expenses and other adjustments not allocated to the segments based on the nature of such items. Results of Principal Securities, Inc. (“PSI”), our retail broker-dealer and registered investment advisor (“RIA”); and our exited group medical and long-term care insurance businesses are reported in this segment.</w:t>
      </w:r>
    </w:p>
    <w:p>
      <w:pPr>
        <w:spacing w:after="0" w:line="169" w:lineRule="exact"/>
        <w:rPr>
          <w:sz w:val="20"/>
          <w:szCs w:val="20"/>
          <w:color w:val="auto"/>
        </w:rPr>
      </w:pPr>
    </w:p>
    <w:p>
      <w:pPr>
        <w:ind w:right="80" w:firstLine="576"/>
        <w:spacing w:after="0" w:line="238" w:lineRule="auto"/>
        <w:rPr>
          <w:sz w:val="20"/>
          <w:szCs w:val="20"/>
          <w:color w:val="auto"/>
        </w:rPr>
      </w:pPr>
      <w:r>
        <w:rPr>
          <w:rFonts w:ascii="Times New Roman" w:cs="Times New Roman" w:eastAsia="Times New Roman" w:hAnsi="Times New Roman"/>
          <w:sz w:val="16"/>
          <w:szCs w:val="16"/>
          <w:color w:val="auto"/>
        </w:rPr>
        <w:t>Our chief operating decision maker (“CODM”) is our chief executive officer. Our CODM and management team, use segment pre-tax operating earnings in evaluating performance, which is consistent with the financial results provided to and discussed with securities analysts. In addition, the financial information provided to our CODM is used in making decisions about the allocation of resources and determining annual incentive compensation paid to our employees. We determine segment pre-tax operating earnings by adjusting U.S. GAAP income before income taxes for pre- tax net realized capital gains (losses), as adjusted, pre -tax income (loss) from exited business, pre-tax other adjustments that management believes are not indicative of overall operating trends and certain adjustments related to equity method investments and noncontrolling interest. While these items may be significant components in understanding and assessing the consolidated financial performance, management believes the presentation of pre-tax operating earnings enhances the understanding of our results of operations by highlighting pre-tax earnings attributable to the normal, ongoing operations of the business.</w:t>
      </w:r>
    </w:p>
    <w:p>
      <w:pPr>
        <w:spacing w:after="0" w:line="170"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6"/>
          <w:szCs w:val="16"/>
          <w:color w:val="auto"/>
        </w:rPr>
        <w:t>The pre-tax net realized capital gains (losses), as adjusted, excluded from pre- tax operating earnings reflects consolidated U.S. GAAP pre-tax net realized capital gains (losses) excluding the following items that are included in pre-tax operating earnings:</w:t>
      </w:r>
    </w:p>
    <w:p>
      <w:pPr>
        <w:ind w:left="860" w:hanging="286"/>
        <w:spacing w:after="0" w:line="236" w:lineRule="auto"/>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settlements and accruals on derivative instruments not designated as hedging instruments,</w:t>
      </w:r>
    </w:p>
    <w:p>
      <w:pPr>
        <w:ind w:left="860" w:hanging="286"/>
        <w:spacing w:after="0" w:line="234" w:lineRule="auto"/>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market value adjustments of derivatives and embedded derivatives and</w:t>
      </w:r>
    </w:p>
    <w:p>
      <w:pPr>
        <w:ind w:left="860" w:hanging="28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market value adjustments of derivative instruments used to economically hedge embedded derivatives.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96" w:name="page97"/>
    <w:bookmarkEnd w:id="9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Pre-tax net realized capital gains (losses), as adjusted, are further adjusted for:</w:t>
      </w:r>
    </w:p>
    <w:p>
      <w:pPr>
        <w:spacing w:after="0" w:line="10" w:lineRule="exact"/>
        <w:rPr>
          <w:sz w:val="20"/>
          <w:szCs w:val="20"/>
          <w:color w:val="auto"/>
        </w:rPr>
      </w:pPr>
    </w:p>
    <w:p>
      <w:pPr>
        <w:ind w:left="860" w:hanging="286"/>
        <w:spacing w:after="0"/>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hedge accounting book value adjustments for certain discontinued hedges,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hedge accounting market value revenue adjustments,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market value adjustments to fee revenues,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net realized capital gains (losses) related to equity method investments,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net realized capital gains (losses) related to sponsored investment funds and other adjustments,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variable annuity fees,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adjustments of market risk benefits,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changes in the amortization pattern of actuarial balances,</w:t>
      </w:r>
    </w:p>
    <w:p>
      <w:pPr>
        <w:ind w:left="860" w:hanging="286"/>
        <w:spacing w:after="0" w:line="234"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hedge accounting market value expense adjustments and</w:t>
      </w:r>
    </w:p>
    <w:p>
      <w:pPr>
        <w:ind w:left="860" w:hanging="286"/>
        <w:spacing w:after="0"/>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realized capital gains (losses) distributed.</w:t>
      </w:r>
    </w:p>
    <w:p>
      <w:pPr>
        <w:spacing w:after="0" w:line="170"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Pre-tax income (loss) from exited business includes amounts associated with our exited U.S. retail fixed annuity and ULSG businesses as well as amounts associated with other exited or divested businesses. Pre-tax income (loss) from exited business includes the change in fair value of the funds withheld embedded derivative, net realized capital gains (losses) on funds withheld assets, amortization of reinsurance gain (loss) and other impacts of exited business. Other impacts of exited business primarily includes change in reserves and DAC amortization. Other impacts of exited business in 2025 also include the impairment of assets associated with an exited business.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Segment operating revenues reflect consolidated U.S. GAAP total revenues excluding:</w:t>
      </w:r>
    </w:p>
    <w:p>
      <w:pPr>
        <w:spacing w:after="0" w:line="14" w:lineRule="exact"/>
        <w:rPr>
          <w:sz w:val="20"/>
          <w:szCs w:val="20"/>
          <w:color w:val="auto"/>
        </w:rPr>
      </w:pPr>
    </w:p>
    <w:p>
      <w:pPr>
        <w:ind w:left="860" w:right="160" w:hanging="286"/>
        <w:spacing w:after="0" w:line="268" w:lineRule="auto"/>
        <w:tabs>
          <w:tab w:leader="none" w:pos="8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realized capital gains (losses), except periodic settlements and accruals on derivatives not designated as hedging instruments and certain market value adjustments of derivative instruments used to economically hedge embedded derivatives, and their impact on:</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hedge accounting book value adjustments for certain discontinued hedges,</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hedge accounting market value revenue adjustments,</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variable annuity fees,</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market value adjustments to fee revenues,</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net realized capital gains (losses) related to equity method investments and</w:t>
      </w:r>
    </w:p>
    <w:p>
      <w:pPr>
        <w:ind w:left="1160" w:hanging="298"/>
        <w:spacing w:after="0" w:line="234" w:lineRule="auto"/>
        <w:tabs>
          <w:tab w:leader="none" w:pos="116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net realized capital gains (losses) related to sponsored investment funds and other adjustments.</w:t>
      </w:r>
    </w:p>
    <w:p>
      <w:pPr>
        <w:ind w:left="860" w:hanging="286"/>
        <w:spacing w:after="0" w:line="234" w:lineRule="auto"/>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revenues from exited business,</w:t>
      </w:r>
    </w:p>
    <w:p>
      <w:pPr>
        <w:ind w:left="860" w:hanging="286"/>
        <w:spacing w:after="0" w:line="234" w:lineRule="auto"/>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other revenue adjustments and income taxes of equity method investments and</w:t>
      </w:r>
    </w:p>
    <w:p>
      <w:pPr>
        <w:ind w:left="860" w:hanging="286"/>
        <w:spacing w:after="0"/>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other revenue adjustments management believes are not indicative of overall operating trends.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Segment expenses reflect consolidated U.S. GAAP total expenses excluding:</w:t>
      </w:r>
    </w:p>
    <w:p>
      <w:pPr>
        <w:spacing w:after="0" w:line="10" w:lineRule="exact"/>
        <w:rPr>
          <w:sz w:val="20"/>
          <w:szCs w:val="20"/>
          <w:color w:val="auto"/>
        </w:rPr>
      </w:pPr>
    </w:p>
    <w:p>
      <w:pPr>
        <w:ind w:left="860" w:hanging="286"/>
        <w:spacing w:after="0"/>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expenses associated with net realized capital gains (losses),</w:t>
      </w:r>
    </w:p>
    <w:p>
      <w:pPr>
        <w:ind w:left="860" w:hanging="286"/>
        <w:spacing w:after="0" w:line="234" w:lineRule="auto"/>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settlements and accruals on derivatives used to hedge MRBs,</w:t>
      </w:r>
    </w:p>
    <w:p>
      <w:pPr>
        <w:ind w:left="860" w:hanging="286"/>
        <w:spacing w:after="0" w:line="234" w:lineRule="auto"/>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expenses from exited business and</w:t>
      </w:r>
    </w:p>
    <w:p>
      <w:pPr>
        <w:ind w:left="860" w:hanging="286"/>
        <w:spacing w:after="0"/>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expense adjustments management believes are not indicative of overall operating trends.</w:t>
      </w:r>
    </w:p>
    <w:p>
      <w:pPr>
        <w:spacing w:after="0" w:line="158" w:lineRule="exact"/>
        <w:rPr>
          <w:sz w:val="20"/>
          <w:szCs w:val="20"/>
          <w:color w:val="auto"/>
        </w:rPr>
      </w:pPr>
    </w:p>
    <w:p>
      <w:pPr>
        <w:ind w:right="20" w:firstLine="576"/>
        <w:spacing w:after="0" w:line="237" w:lineRule="auto"/>
        <w:rPr>
          <w:sz w:val="20"/>
          <w:szCs w:val="20"/>
          <w:color w:val="auto"/>
        </w:rPr>
      </w:pPr>
      <w:r>
        <w:rPr>
          <w:rFonts w:ascii="Times New Roman" w:cs="Times New Roman" w:eastAsia="Times New Roman" w:hAnsi="Times New Roman"/>
          <w:sz w:val="16"/>
          <w:szCs w:val="16"/>
          <w:color w:val="auto"/>
        </w:rPr>
        <w:t>The accounting policies of the segments are consistent with the accounting policies for the consolidated financial statements, with the exception of: (1) pension and other postretirement employee benefits cost allocations, (2) certain expenses deemed to benefit the entire organization and (3) income tax allocations. For purposes of determining pre-tax operating earnings, the segments are allocated the service component of pension and other postretirement benefit costs. The Corporate segment reflects the non-service components of pension and other postretirement benefit costs as assumptions are established and funding decisions are managed from a company -wide perspective. Additionally, the Corporate segment reflects expenses that benefit the entire organization for which the segments are not able to influence the spend. This includes expenses such as public company costs, executive management costs, acquisition and disposition costs, among others. The Corporate segment functions to absorb the risk inherent in interpreting and applying tax law. For purposes of determining non-GAAP operating earnings, the segments are allocated tax adjustments consistent with the positions we took on tax returns. The Corporate segment results reflect any differences between the tax returns and the estimated resolution of any disputes.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97" w:name="page98"/>
    <w:bookmarkEnd w:id="9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tables summarize select financial information by segment and reconcile segment totals to those reported in the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1520" w:type="dxa"/>
            <w:vAlign w:val="bottom"/>
          </w:tcPr>
          <w:p>
            <w:pPr>
              <w:spacing w:after="0"/>
              <w:rPr>
                <w:sz w:val="11"/>
                <w:szCs w:val="11"/>
                <w:color w:val="auto"/>
              </w:rPr>
            </w:pPr>
          </w:p>
        </w:tc>
      </w:tr>
      <w:tr>
        <w:trPr>
          <w:trHeight w:val="180"/>
        </w:trPr>
        <w:tc>
          <w:tcPr>
            <w:tcW w:w="5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219,759.2</w:t>
            </w:r>
          </w:p>
        </w:tc>
        <w:tc>
          <w:tcPr>
            <w:tcW w:w="54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222,967.0</w:t>
            </w:r>
          </w:p>
        </w:tc>
      </w:tr>
      <w:tr>
        <w:trPr>
          <w:trHeight w:val="180"/>
        </w:trPr>
        <w:tc>
          <w:tcPr>
            <w:tcW w:w="5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Principal Asset Management</w:t>
            </w:r>
          </w:p>
        </w:tc>
        <w:tc>
          <w:tcPr>
            <w:tcW w:w="24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44,916.7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43,029.4</w:t>
            </w:r>
          </w:p>
        </w:tc>
      </w:tr>
      <w:tr>
        <w:trPr>
          <w:trHeight w:val="180"/>
        </w:trPr>
        <w:tc>
          <w:tcPr>
            <w:tcW w:w="5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46,350.0</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46,006.7</w:t>
            </w:r>
          </w:p>
        </w:tc>
      </w:tr>
      <w:tr>
        <w:trPr>
          <w:trHeight w:val="180"/>
        </w:trPr>
        <w:tc>
          <w:tcPr>
            <w:tcW w:w="5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1,977.4</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1,660.5</w:t>
            </w:r>
          </w:p>
        </w:tc>
      </w:tr>
      <w:tr>
        <w:trPr>
          <w:trHeight w:val="172"/>
        </w:trPr>
        <w:tc>
          <w:tcPr>
            <w:tcW w:w="55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assets per consolidated statements of financial position</w:t>
            </w: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313,003.3</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313,663.6</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Operating 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65"/>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40" w:type="dxa"/>
            <w:vAlign w:val="bottom"/>
          </w:tcPr>
          <w:p>
            <w:pPr>
              <w:spacing w:after="0"/>
              <w:rPr>
                <w:sz w:val="14"/>
                <w:szCs w:val="14"/>
                <w:color w:val="auto"/>
              </w:rPr>
            </w:pPr>
          </w:p>
        </w:tc>
        <w:tc>
          <w:tcPr>
            <w:tcW w:w="7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5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gridSpan w:val="2"/>
          </w:tcPr>
          <w:p>
            <w:pPr>
              <w:ind w:left="2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 from contracts with external customers (1)</w:t>
            </w:r>
          </w:p>
        </w:tc>
        <w:tc>
          <w:tcPr>
            <w:tcW w:w="16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1,259.0</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450.0</w:t>
            </w:r>
          </w:p>
        </w:tc>
        <w:tc>
          <w:tcPr>
            <w:tcW w:w="2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1,055.5</w:t>
            </w:r>
          </w:p>
        </w:tc>
        <w:tc>
          <w:tcPr>
            <w:tcW w:w="300" w:type="dxa"/>
            <w:vAlign w:val="bottom"/>
            <w:gridSpan w:val="2"/>
            <w:shd w:val="clear" w:color="auto" w:fill="CCEEFF"/>
          </w:tcPr>
          <w:p>
            <w:pPr>
              <w:jc w:val="right"/>
              <w:ind w:right="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63.1</w:t>
            </w:r>
          </w:p>
        </w:tc>
        <w:tc>
          <w:tcPr>
            <w:tcW w:w="280" w:type="dxa"/>
            <w:vAlign w:val="bottom"/>
            <w:gridSpan w:val="3"/>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2,827.6</w:t>
            </w:r>
          </w:p>
        </w:tc>
        <w:tc>
          <w:tcPr>
            <w:tcW w:w="0" w:type="dxa"/>
            <w:vAlign w:val="bottom"/>
          </w:tcPr>
          <w:p>
            <w:pPr>
              <w:spacing w:after="0"/>
              <w:rPr>
                <w:sz w:val="1"/>
                <w:szCs w:val="1"/>
                <w:color w:val="auto"/>
              </w:rPr>
            </w:pPr>
          </w:p>
        </w:tc>
      </w:tr>
      <w:tr>
        <w:trPr>
          <w:trHeight w:val="167"/>
        </w:trPr>
        <w:tc>
          <w:tcPr>
            <w:tcW w:w="50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Adjustments for revenue from contracts with external customers not included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0" w:type="dxa"/>
            <w:vAlign w:val="bottom"/>
          </w:tcPr>
          <w:p>
            <w:pPr>
              <w:spacing w:after="0"/>
              <w:rPr>
                <w:sz w:val="1"/>
                <w:szCs w:val="1"/>
                <w:color w:val="auto"/>
              </w:rPr>
            </w:pPr>
          </w:p>
        </w:tc>
      </w:tr>
      <w:tr>
        <w:trPr>
          <w:trHeight w:val="193"/>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revenues (2)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 included in operating revenues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822.0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117.6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149.8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1,151.8</w:t>
            </w: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 from equity method investments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44.5</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Inter-segment operating revenues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167.4</w:t>
            </w: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Eliminations of inter-segment operating revenues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(167.4)</w:t>
            </w:r>
          </w:p>
        </w:tc>
        <w:tc>
          <w:tcPr>
            <w:tcW w:w="0" w:type="dxa"/>
            <w:vAlign w:val="bottom"/>
          </w:tcPr>
          <w:p>
            <w:pPr>
              <w:spacing w:after="0"/>
              <w:rPr>
                <w:sz w:val="1"/>
                <w:szCs w:val="1"/>
                <w:color w:val="auto"/>
              </w:rPr>
            </w:pPr>
          </w:p>
        </w:tc>
      </w:tr>
      <w:tr>
        <w:trPr>
          <w:trHeight w:val="172"/>
        </w:trPr>
        <w:tc>
          <w:tcPr>
            <w:tcW w:w="506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Segment operating revenues (3)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2,075.2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686.8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1,214.2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4,013.3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realized capital losses, net of related revenue adjustments</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(101.7)</w:t>
            </w:r>
          </w:p>
        </w:tc>
        <w:tc>
          <w:tcPr>
            <w:tcW w:w="0" w:type="dxa"/>
            <w:vAlign w:val="bottom"/>
          </w:tcPr>
          <w:p>
            <w:pPr>
              <w:spacing w:after="0" w:line="20" w:lineRule="exact"/>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Revenues from exited business (4)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(188.0)</w:t>
            </w: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 related to equity method investments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derivative settlements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w:t>
            </w:r>
          </w:p>
        </w:tc>
        <w:tc>
          <w:tcPr>
            <w:tcW w:w="0" w:type="dxa"/>
            <w:vAlign w:val="bottom"/>
          </w:tcPr>
          <w:p>
            <w:pPr>
              <w:spacing w:after="0"/>
              <w:rPr>
                <w:sz w:val="1"/>
                <w:szCs w:val="1"/>
                <w:color w:val="auto"/>
              </w:rPr>
            </w:pPr>
          </w:p>
        </w:tc>
      </w:tr>
      <w:tr>
        <w:trPr>
          <w:trHeight w:val="172"/>
        </w:trPr>
        <w:tc>
          <w:tcPr>
            <w:tcW w:w="506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 per consolidated statements of operations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3,695.9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98" w:name="page99"/>
    <w:bookmarkEnd w:id="9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65"/>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Benefits and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1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 from contracts with external customers (1)</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1,212.3</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30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1,027.9</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58.7</w:t>
            </w: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2,736.4</w:t>
            </w:r>
          </w:p>
        </w:tc>
        <w:tc>
          <w:tcPr>
            <w:tcW w:w="0" w:type="dxa"/>
            <w:vAlign w:val="bottom"/>
          </w:tcPr>
          <w:p>
            <w:pPr>
              <w:spacing w:after="0"/>
              <w:rPr>
                <w:sz w:val="1"/>
                <w:szCs w:val="1"/>
                <w:color w:val="auto"/>
              </w:rPr>
            </w:pPr>
          </w:p>
        </w:tc>
      </w:tr>
      <w:tr>
        <w:trPr>
          <w:trHeight w:val="167"/>
        </w:trPr>
        <w:tc>
          <w:tcPr>
            <w:tcW w:w="496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w w:val="99"/>
              </w:rPr>
              <w:t>Adjustments for revenue from contracts with external customers not included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 operating revenues (2)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80"/>
        </w:trPr>
        <w:tc>
          <w:tcPr>
            <w:tcW w:w="4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 included in operating revenues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1,035.8</w:t>
            </w: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 from equity method investments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180"/>
        </w:trPr>
        <w:tc>
          <w:tcPr>
            <w:tcW w:w="4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Inter-segment operating revenues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145.2</w:t>
            </w: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Eliminations of inter-segment operating revenues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(145.2)</w:t>
            </w:r>
          </w:p>
        </w:tc>
        <w:tc>
          <w:tcPr>
            <w:tcW w:w="0" w:type="dxa"/>
            <w:vAlign w:val="bottom"/>
          </w:tcPr>
          <w:p>
            <w:pPr>
              <w:spacing w:after="0"/>
              <w:rPr>
                <w:sz w:val="1"/>
                <w:szCs w:val="1"/>
                <w:color w:val="auto"/>
              </w:rPr>
            </w:pPr>
          </w:p>
        </w:tc>
      </w:tr>
      <w:tr>
        <w:trPr>
          <w:trHeight w:val="172"/>
        </w:trPr>
        <w:tc>
          <w:tcPr>
            <w:tcW w:w="4960" w:type="dxa"/>
            <w:vAlign w:val="bottom"/>
            <w:tcBorders>
              <w:top w:val="single" w:sz="8" w:color="CCEEFF"/>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Segment operating revenues (3)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1,932.4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655.3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1,185.9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3,804.7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realized capital gains, net of related revenue adjustments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line="20" w:lineRule="exact"/>
              <w:rPr>
                <w:sz w:val="1"/>
                <w:szCs w:val="1"/>
                <w:color w:val="auto"/>
              </w:rPr>
            </w:pPr>
          </w:p>
        </w:tc>
      </w:tr>
      <w:tr>
        <w:trPr>
          <w:trHeight w:val="156"/>
        </w:trPr>
        <w:tc>
          <w:tcPr>
            <w:tcW w:w="4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Revenues from exited business (4)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242.3</w:t>
            </w: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 related to equity method investments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0"/>
        </w:trPr>
        <w:tc>
          <w:tcPr>
            <w:tcW w:w="4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derivative settlements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72"/>
        </w:trPr>
        <w:tc>
          <w:tcPr>
            <w:tcW w:w="496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 per consolidated statements of operations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4,053.3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2" w:hanging="282"/>
        <w:spacing w:after="0"/>
        <w:tabs>
          <w:tab w:leader="none" w:pos="28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reported in premiums and other considerations as well as fees and other revenues on the consolidated statement of operations.</w:t>
      </w:r>
    </w:p>
    <w:p>
      <w:pPr>
        <w:spacing w:after="0" w:line="37" w:lineRule="exact"/>
        <w:rPr>
          <w:rFonts w:ascii="Times New Roman" w:cs="Times New Roman" w:eastAsia="Times New Roman" w:hAnsi="Times New Roman"/>
          <w:sz w:val="14"/>
          <w:szCs w:val="14"/>
          <w:color w:val="auto"/>
        </w:rPr>
      </w:pPr>
    </w:p>
    <w:p>
      <w:pPr>
        <w:ind w:left="282" w:right="80" w:hanging="282"/>
        <w:spacing w:after="0" w:line="234" w:lineRule="auto"/>
        <w:tabs>
          <w:tab w:leader="none" w:pos="28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certain revenues associated with our exited U.S. retail fixed annuity and ULSG businesses and fees associated with net realized capital gains (losses) that are not included in segment operating revenue.</w:t>
      </w:r>
    </w:p>
    <w:p>
      <w:pPr>
        <w:spacing w:after="0" w:line="1"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19, Revenues from Contracts with Customers, for additional detail relating to segment operating revenues.</w:t>
      </w:r>
    </w:p>
    <w:p>
      <w:pPr>
        <w:ind w:left="282" w:hanging="282"/>
        <w:spacing w:after="0"/>
        <w:tabs>
          <w:tab w:leader="none" w:pos="28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exited business included:</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5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82"/>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940" w:type="dxa"/>
            <w:vAlign w:val="bottom"/>
          </w:tcPr>
          <w:p>
            <w:pPr>
              <w:spacing w:after="0"/>
              <w:rPr>
                <w:sz w:val="11"/>
                <w:szCs w:val="11"/>
                <w:color w:val="auto"/>
              </w:rPr>
            </w:pPr>
          </w:p>
        </w:tc>
      </w:tr>
      <w:tr>
        <w:trPr>
          <w:trHeight w:val="180"/>
        </w:trPr>
        <w:tc>
          <w:tcPr>
            <w:tcW w:w="5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funds withheld embedded derivative</w:t>
            </w:r>
          </w:p>
        </w:tc>
        <w:tc>
          <w:tcPr>
            <w:tcW w:w="2180" w:type="dxa"/>
            <w:vAlign w:val="bottom"/>
            <w:gridSpan w:val="2"/>
            <w:shd w:val="clear" w:color="auto" w:fill="CCEEFF"/>
          </w:tcPr>
          <w:p>
            <w:pPr>
              <w:jc w:val="right"/>
              <w:ind w:right="677"/>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(209.7)</w:t>
            </w:r>
          </w:p>
        </w:tc>
        <w:tc>
          <w:tcPr>
            <w:tcW w:w="62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w:t>
            </w: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capital gains on funds withheld assets</w:t>
            </w: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47.5</w:t>
            </w:r>
          </w:p>
        </w:tc>
      </w:tr>
      <w:tr>
        <w:trPr>
          <w:trHeight w:val="180"/>
        </w:trPr>
        <w:tc>
          <w:tcPr>
            <w:tcW w:w="5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reinsurance gain</w:t>
            </w: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51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impacts of exited business</w:t>
            </w:r>
          </w:p>
        </w:tc>
        <w:tc>
          <w:tcPr>
            <w:tcW w:w="13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72"/>
        </w:trPr>
        <w:tc>
          <w:tcPr>
            <w:tcW w:w="512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 from exited business</w:t>
            </w:r>
          </w:p>
        </w:tc>
        <w:tc>
          <w:tcPr>
            <w:tcW w:w="1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(188.0)</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242.3</w:t>
            </w:r>
          </w:p>
        </w:tc>
      </w:tr>
      <w:tr>
        <w:trPr>
          <w:trHeight w:val="20"/>
        </w:trPr>
        <w:tc>
          <w:tcPr>
            <w:tcW w:w="5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99" w:name="page100"/>
    <w:bookmarkEnd w:id="9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Expenses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expense categories within total segment expenses included: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7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1,353.9</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90.6</w:t>
            </w:r>
          </w:p>
        </w:tc>
        <w:tc>
          <w:tcPr>
            <w:tcW w:w="30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699.3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 loss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remeasurement loss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Dividends to policyholders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Commission expense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151.0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Capitalization of deferred acquisition costs and contract costs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(40.9)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(87.3)</w:t>
            </w: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acquisition costs and contract costs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 on corporate debt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Compensation and other</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370.8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342.8</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244.7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48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403.4</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376.7</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120.3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80" w:type="dxa"/>
            <w:vAlign w:val="bottom"/>
            <w:tcBorders>
              <w:bottom w:val="single" w:sz="8" w:color="CCEEFF"/>
            </w:tcBorders>
            <w:gridSpan w:val="2"/>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segment expenses</w:t>
            </w: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1,790.9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1,094.7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gridSpan w:val="2"/>
          </w:tcPr>
          <w:p>
            <w:pPr>
              <w:jc w:val="right"/>
              <w:ind w:right="4"/>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3,524.0</w:t>
            </w:r>
          </w:p>
        </w:tc>
        <w:tc>
          <w:tcPr>
            <w:tcW w:w="0" w:type="dxa"/>
            <w:vAlign w:val="bottom"/>
          </w:tcPr>
          <w:p>
            <w:pPr>
              <w:spacing w:after="0"/>
              <w:rPr>
                <w:sz w:val="1"/>
                <w:szCs w:val="1"/>
                <w:color w:val="auto"/>
              </w:rPr>
            </w:pPr>
          </w:p>
        </w:tc>
      </w:tr>
      <w:tr>
        <w:trPr>
          <w:trHeight w:val="156"/>
        </w:trPr>
        <w:tc>
          <w:tcPr>
            <w:tcW w:w="44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Net realized capital losses expense adjustments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27.8</w:t>
            </w: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derivative settlements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(11.1)</w:t>
            </w: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Expenses from exited business (1)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126.3</w:t>
            </w:r>
          </w:p>
        </w:tc>
        <w:tc>
          <w:tcPr>
            <w:tcW w:w="0" w:type="dxa"/>
            <w:vAlign w:val="bottom"/>
          </w:tcPr>
          <w:p>
            <w:pPr>
              <w:spacing w:after="0"/>
              <w:rPr>
                <w:sz w:val="1"/>
                <w:szCs w:val="1"/>
                <w:color w:val="auto"/>
              </w:rPr>
            </w:pPr>
          </w:p>
        </w:tc>
      </w:tr>
      <w:tr>
        <w:trPr>
          <w:trHeight w:val="172"/>
        </w:trPr>
        <w:tc>
          <w:tcPr>
            <w:tcW w:w="44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expenses per consolidated statements of operations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3,667.0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gridSpan w:val="9"/>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4"/>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7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1,243.3</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74.5</w:t>
            </w:r>
          </w:p>
        </w:tc>
        <w:tc>
          <w:tcPr>
            <w:tcW w:w="30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681.9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 loss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remeasurement loss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Dividends to policyholders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Commission expense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141.8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Capitalization of deferred acquisition costs and contract costs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160" w:type="dxa"/>
            <w:vAlign w:val="bottom"/>
          </w:tcPr>
          <w:p>
            <w:pPr>
              <w:spacing w:after="0"/>
              <w:rPr>
                <w:sz w:val="15"/>
                <w:szCs w:val="15"/>
                <w:color w:val="auto"/>
              </w:rPr>
            </w:pPr>
          </w:p>
        </w:tc>
        <w:tc>
          <w:tcPr>
            <w:tcW w:w="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acquisition costs and contract costs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 on corporate debt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Compensation and other</w:t>
            </w: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358.9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326.6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232.7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48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429.2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391.7</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356.6</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80" w:type="dxa"/>
            <w:vAlign w:val="bottom"/>
            <w:tcBorders>
              <w:bottom w:val="single" w:sz="8" w:color="CCEEFF"/>
            </w:tcBorders>
            <w:gridSpan w:val="2"/>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segment expenses</w:t>
            </w: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1,670.2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1,074.1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gridSpan w:val="2"/>
          </w:tcPr>
          <w:p>
            <w:pPr>
              <w:jc w:val="right"/>
              <w:ind w:right="4"/>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3,330.2</w:t>
            </w:r>
          </w:p>
        </w:tc>
        <w:tc>
          <w:tcPr>
            <w:tcW w:w="0" w:type="dxa"/>
            <w:vAlign w:val="bottom"/>
          </w:tcPr>
          <w:p>
            <w:pPr>
              <w:spacing w:after="0"/>
              <w:rPr>
                <w:sz w:val="1"/>
                <w:szCs w:val="1"/>
                <w:color w:val="auto"/>
              </w:rPr>
            </w:pPr>
          </w:p>
        </w:tc>
      </w:tr>
      <w:tr>
        <w:trPr>
          <w:trHeight w:val="156"/>
        </w:trPr>
        <w:tc>
          <w:tcPr>
            <w:tcW w:w="44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Net realized capital losses expense adjustments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180"/>
        </w:trPr>
        <w:tc>
          <w:tcPr>
            <w:tcW w:w="4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Market risk benefit derivative settlements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from exited business (1)</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172"/>
        </w:trPr>
        <w:tc>
          <w:tcPr>
            <w:tcW w:w="44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expenses per consolidated statements of operations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3,426.2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Expenses from exited business included: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0" w:name="page101"/>
    <w:bookmarkEnd w:id="10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45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4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860" w:type="dxa"/>
            <w:vAlign w:val="bottom"/>
          </w:tcPr>
          <w:p>
            <w:pPr>
              <w:spacing w:after="0"/>
              <w:rPr>
                <w:sz w:val="11"/>
                <w:szCs w:val="11"/>
                <w:color w:val="auto"/>
              </w:rPr>
            </w:pPr>
          </w:p>
        </w:tc>
      </w:tr>
      <w:tr>
        <w:trPr>
          <w:trHeight w:val="180"/>
        </w:trPr>
        <w:tc>
          <w:tcPr>
            <w:tcW w:w="4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reinsurance loss</w:t>
            </w:r>
          </w:p>
        </w:tc>
        <w:tc>
          <w:tcPr>
            <w:tcW w:w="2900" w:type="dxa"/>
            <w:vAlign w:val="bottom"/>
            <w:gridSpan w:val="2"/>
            <w:shd w:val="clear" w:color="auto" w:fill="CCEEFF"/>
          </w:tcPr>
          <w:p>
            <w:pPr>
              <w:jc w:val="right"/>
              <w:ind w:right="59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26.9</w:t>
            </w:r>
          </w:p>
        </w:tc>
        <w:tc>
          <w:tcPr>
            <w:tcW w:w="62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4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impacts of exited business</w:t>
            </w:r>
          </w:p>
        </w:tc>
        <w:tc>
          <w:tcPr>
            <w:tcW w:w="2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99.4</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33.5</w:t>
            </w:r>
          </w:p>
        </w:tc>
      </w:tr>
      <w:tr>
        <w:trPr>
          <w:trHeight w:val="172"/>
        </w:trPr>
        <w:tc>
          <w:tcPr>
            <w:tcW w:w="45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expenses from exited business</w:t>
            </w:r>
          </w:p>
        </w:tc>
        <w:tc>
          <w:tcPr>
            <w:tcW w:w="2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90"/>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126.3</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44.7</w:t>
            </w:r>
          </w:p>
        </w:tc>
      </w:tr>
      <w:tr>
        <w:trPr>
          <w:trHeight w:val="20"/>
        </w:trPr>
        <w:tc>
          <w:tcPr>
            <w:tcW w:w="4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Segment Pre-Tax Operating Earnings</w:t>
      </w:r>
    </w:p>
    <w:p>
      <w:pPr>
        <w:spacing w:after="0" w:line="202" w:lineRule="exact"/>
        <w:rPr>
          <w:sz w:val="20"/>
          <w:szCs w:val="20"/>
          <w:color w:val="auto"/>
        </w:rPr>
      </w:pPr>
    </w:p>
    <w:p>
      <w:pPr>
        <w:ind w:left="6182"/>
        <w:spacing w:after="0"/>
        <w:rPr>
          <w:sz w:val="20"/>
          <w:szCs w:val="20"/>
          <w:color w:val="auto"/>
        </w:rPr>
      </w:pPr>
      <w:r>
        <w:rPr>
          <w:rFonts w:ascii="Times New Roman" w:cs="Times New Roman" w:eastAsia="Times New Roman" w:hAnsi="Times New Roman"/>
          <w:sz w:val="13"/>
          <w:szCs w:val="13"/>
          <w:b w:val="1"/>
          <w:bCs w:val="1"/>
          <w:color w:val="auto"/>
        </w:rPr>
        <w:t>For the three months March 31, 2025</w:t>
      </w:r>
    </w:p>
    <w:p>
      <w:pPr>
        <w:sectPr>
          <w:pgSz w:w="11900" w:h="16840" w:orient="portrait"/>
          <w:cols w:equalWidth="0" w:num="1">
            <w:col w:w="9342"/>
          </w:cols>
          <w:pgMar w:left="1278" w:top="557"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Segment pre-tax operating earnings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30265" cy="121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0265" cy="12192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Pre-tax net realized capital losses, as adjusted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30265"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Pre-tax loss from exited business (2)</w:t>
      </w:r>
    </w:p>
    <w:p>
      <w:pPr>
        <w:jc w:val="right"/>
        <w:ind w:left="2"/>
        <w:spacing w:after="0" w:line="340" w:lineRule="auto"/>
        <w:rPr>
          <w:sz w:val="20"/>
          <w:szCs w:val="20"/>
          <w:color w:val="auto"/>
        </w:rPr>
      </w:pPr>
      <w:r>
        <w:rPr>
          <w:rFonts w:ascii="Times New Roman" w:cs="Times New Roman" w:eastAsia="Times New Roman" w:hAnsi="Times New Roman"/>
          <w:sz w:val="14"/>
          <w:szCs w:val="14"/>
          <w:color w:val="auto"/>
        </w:rPr>
        <w:t>Adjustments related to equity method investments and noncontrolling interest Total income before income taxes per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930265" cy="1295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30265"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68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0"/>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Solutions</w:t>
            </w: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187.5</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(105.6)</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485.1</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(129.5)</w:t>
            </w:r>
          </w:p>
        </w:tc>
        <w:tc>
          <w:tcPr>
            <w:tcW w:w="0" w:type="dxa"/>
            <w:vAlign w:val="bottom"/>
          </w:tcPr>
          <w:p>
            <w:pPr>
              <w:spacing w:after="0" w:line="20" w:lineRule="exact"/>
              <w:rPr>
                <w:sz w:val="1"/>
                <w:szCs w:val="1"/>
                <w:color w:val="auto"/>
              </w:rPr>
            </w:pPr>
          </w:p>
        </w:tc>
      </w:tr>
      <w:tr>
        <w:trPr>
          <w:trHeight w:val="141"/>
        </w:trPr>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(314.3)</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40" w:orient="portrait"/>
          <w:cols w:equalWidth="0" w:num="2">
            <w:col w:w="4842" w:space="280"/>
            <w:col w:w="4220"/>
          </w:cols>
          <w:pgMar w:left="1278" w:top="557" w:right="1280" w:bottom="1440" w:gutter="0" w:footer="0" w:header="0"/>
          <w:type w:val="continuous"/>
        </w:sectPr>
      </w:pPr>
    </w:p>
    <w:p>
      <w:pPr>
        <w:ind w:left="6182"/>
        <w:spacing w:after="0"/>
        <w:rPr>
          <w:sz w:val="20"/>
          <w:szCs w:val="20"/>
          <w:color w:val="auto"/>
        </w:rPr>
      </w:pPr>
      <w:r>
        <w:rPr>
          <w:rFonts w:ascii="Times New Roman" w:cs="Times New Roman" w:eastAsia="Times New Roman" w:hAnsi="Times New Roman"/>
          <w:sz w:val="13"/>
          <w:szCs w:val="13"/>
          <w:b w:val="1"/>
          <w:bCs w:val="1"/>
          <w:color w:val="auto"/>
        </w:rPr>
        <w:t>For the three months March 31, 2024</w:t>
      </w:r>
    </w:p>
    <w:p>
      <w:pPr>
        <w:sectPr>
          <w:pgSz w:w="11900" w:h="16840" w:orient="portrait"/>
          <w:cols w:equalWidth="0" w:num="1">
            <w:col w:w="9342"/>
          </w:cols>
          <w:pgMar w:left="1278" w:top="557" w:right="12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Segment pre-tax operating earnings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30265" cy="121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30265" cy="12192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Pre-tax net realized capital losses, as adjusted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30265"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30265" cy="11430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Pre-tax income from exited business (2)</w:t>
      </w:r>
    </w:p>
    <w:p>
      <w:pPr>
        <w:jc w:val="right"/>
        <w:ind w:left="2"/>
        <w:spacing w:after="0" w:line="340" w:lineRule="auto"/>
        <w:rPr>
          <w:sz w:val="20"/>
          <w:szCs w:val="20"/>
          <w:color w:val="auto"/>
        </w:rPr>
      </w:pPr>
      <w:r>
        <w:rPr>
          <w:rFonts w:ascii="Times New Roman" w:cs="Times New Roman" w:eastAsia="Times New Roman" w:hAnsi="Times New Roman"/>
          <w:sz w:val="14"/>
          <w:szCs w:val="14"/>
          <w:color w:val="auto"/>
        </w:rPr>
        <w:t>Adjustments related to equity method investments and noncontrolling interest Total income before income taxes per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930265" cy="1295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30265" cy="1295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14789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68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0"/>
              <w:spacing w:after="0" w:line="134"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Income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Benefits and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7"/>
              </w:rPr>
              <w:t>Solutions</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Protection</w:t>
            </w:r>
          </w:p>
        </w:tc>
        <w:tc>
          <w:tcPr>
            <w:tcW w:w="1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3"/>
        </w:trPr>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line="20" w:lineRule="exact"/>
              <w:rPr>
                <w:sz w:val="1"/>
                <w:szCs w:val="1"/>
                <w:color w:val="auto"/>
              </w:rPr>
            </w:pPr>
          </w:p>
        </w:tc>
      </w:tr>
      <w:tr>
        <w:trPr>
          <w:trHeight w:val="143"/>
        </w:trPr>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197.6</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627.1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40" w:orient="portrait"/>
          <w:cols w:equalWidth="0" w:num="2">
            <w:col w:w="4842" w:space="280"/>
            <w:col w:w="4220"/>
          </w:cols>
          <w:pgMar w:left="1278" w:top="557" w:right="1280" w:bottom="1440" w:gutter="0" w:footer="0" w:header="0"/>
          <w:type w:val="continuous"/>
        </w:sectPr>
      </w:pPr>
    </w:p>
    <w:p>
      <w:pPr>
        <w:ind w:left="282" w:hanging="282"/>
        <w:spacing w:after="0"/>
        <w:tabs>
          <w:tab w:leader="none" w:pos="28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net realized capital gains (losses), as adjusted, is derived as follows:</w:t>
      </w:r>
    </w:p>
    <w:p>
      <w:pPr>
        <w:spacing w:after="0" w:line="200" w:lineRule="exact"/>
        <w:rPr>
          <w:rFonts w:ascii="Times New Roman" w:cs="Times New Roman" w:eastAsia="Times New Roman" w:hAnsi="Times New Roman"/>
          <w:sz w:val="14"/>
          <w:szCs w:val="14"/>
          <w:color w:val="auto"/>
        </w:rPr>
      </w:pPr>
    </w:p>
    <w:p>
      <w:pPr>
        <w:spacing w:after="0" w:line="383" w:lineRule="exact"/>
        <w:rPr>
          <w:rFonts w:ascii="Times New Roman" w:cs="Times New Roman" w:eastAsia="Times New Roman" w:hAnsi="Times New Roman"/>
          <w:sz w:val="14"/>
          <w:szCs w:val="14"/>
          <w:color w:val="auto"/>
        </w:rPr>
      </w:pPr>
    </w:p>
    <w:p>
      <w:pPr>
        <w:ind w:left="45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type w:val="continuous"/>
        </w:sectPr>
      </w:pPr>
    </w:p>
    <w:bookmarkStart w:id="101" w:name="page102"/>
    <w:bookmarkEnd w:id="10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420" w:type="dxa"/>
            <w:vAlign w:val="bottom"/>
            <w:tcBorders>
              <w:bottom w:val="single" w:sz="8" w:color="auto"/>
            </w:tcBorders>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ind w:right="88"/>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2"/>
                <w:szCs w:val="12"/>
                <w:color w:val="auto"/>
              </w:rPr>
            </w:pPr>
          </w:p>
        </w:tc>
      </w:tr>
      <w:tr>
        <w:trPr>
          <w:trHeight w:val="136"/>
        </w:trPr>
        <w:tc>
          <w:tcPr>
            <w:tcW w:w="23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60" w:type="dxa"/>
            <w:vAlign w:val="bottom"/>
            <w:gridSpan w:val="3"/>
          </w:tcPr>
          <w:p>
            <w:pPr>
              <w:jc w:val="right"/>
              <w:ind w:right="728"/>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420" w:type="dxa"/>
            <w:vAlign w:val="bottom"/>
          </w:tcPr>
          <w:p>
            <w:pPr>
              <w:spacing w:after="0"/>
              <w:rPr>
                <w:sz w:val="11"/>
                <w:szCs w:val="11"/>
                <w:color w:val="auto"/>
              </w:rPr>
            </w:pP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realized capital losses</w:t>
            </w:r>
          </w:p>
        </w:tc>
        <w:tc>
          <w:tcPr>
            <w:tcW w:w="88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(117.1)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6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Derivative and hedging-related revenue adjustments</w:t>
            </w:r>
          </w:p>
        </w:tc>
        <w:tc>
          <w:tcPr>
            <w:tcW w:w="880" w:type="dxa"/>
            <w:vAlign w:val="bottom"/>
          </w:tcPr>
          <w:p>
            <w:pPr>
              <w:spacing w:after="0"/>
              <w:rPr>
                <w:sz w:val="15"/>
                <w:szCs w:val="15"/>
                <w:color w:val="auto"/>
              </w:rPr>
            </w:pPr>
          </w:p>
        </w:tc>
        <w:tc>
          <w:tcPr>
            <w:tcW w:w="64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(13.2)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w:t>
            </w: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value adjustments to fee revenues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Certain variable annuity fees</w:t>
            </w:r>
          </w:p>
        </w:tc>
        <w:tc>
          <w:tcPr>
            <w:tcW w:w="8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w:t>
            </w: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 method investments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180"/>
        </w:trPr>
        <w:tc>
          <w:tcPr>
            <w:tcW w:w="62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Sponsored investment funds and other adjustments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172"/>
        </w:trPr>
        <w:tc>
          <w:tcPr>
            <w:tcW w:w="626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realized capital gains (losses), net of related revenue adjustments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31.0</w:t>
            </w:r>
          </w:p>
        </w:tc>
      </w:tr>
      <w:tr>
        <w:trPr>
          <w:trHeight w:val="180"/>
        </w:trPr>
        <w:tc>
          <w:tcPr>
            <w:tcW w:w="23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actuarial balances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6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Capital (gains) losses distributed</w:t>
            </w:r>
          </w:p>
        </w:tc>
        <w:tc>
          <w:tcPr>
            <w:tcW w:w="8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(60.3)</w:t>
            </w: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 and hedging-related expense adjustments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6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Market value adjustments of market risk benefits</w:t>
            </w:r>
          </w:p>
        </w:tc>
        <w:tc>
          <w:tcPr>
            <w:tcW w:w="880" w:type="dxa"/>
            <w:vAlign w:val="bottom"/>
          </w:tcPr>
          <w:p>
            <w:pPr>
              <w:spacing w:after="0"/>
              <w:rPr>
                <w:sz w:val="15"/>
                <w:szCs w:val="15"/>
                <w:color w:val="auto"/>
              </w:rPr>
            </w:pPr>
          </w:p>
        </w:tc>
        <w:tc>
          <w:tcPr>
            <w:tcW w:w="64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(43.9)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Market value adjustments of embedded derivatives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(22.0)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172"/>
        </w:trPr>
        <w:tc>
          <w:tcPr>
            <w:tcW w:w="6260" w:type="dxa"/>
            <w:vAlign w:val="bottom"/>
            <w:tcBorders>
              <w:bottom w:val="single" w:sz="8" w:color="CCEEFF"/>
            </w:tcBorders>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realized capital losses, net of related expense adjustments</w:t>
            </w:r>
          </w:p>
        </w:tc>
        <w:tc>
          <w:tcPr>
            <w:tcW w:w="8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(62.6)</w:t>
            </w:r>
          </w:p>
        </w:tc>
      </w:tr>
      <w:tr>
        <w:trPr>
          <w:trHeight w:val="172"/>
        </w:trPr>
        <w:tc>
          <w:tcPr>
            <w:tcW w:w="6260" w:type="dxa"/>
            <w:vAlign w:val="bottom"/>
            <w:tcBorders>
              <w:bottom w:val="single" w:sz="8" w:color="CCEEFF"/>
            </w:tcBorders>
            <w:gridSpan w:val="2"/>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Pre-tax net realized capital losses, as adjusted (a)</w:t>
            </w:r>
          </w:p>
        </w:tc>
        <w:tc>
          <w:tcPr>
            <w:tcW w:w="88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(129.5)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(31.6)</w:t>
            </w:r>
          </w:p>
        </w:tc>
      </w:tr>
      <w:tr>
        <w:trPr>
          <w:trHeight w:val="20"/>
        </w:trPr>
        <w:tc>
          <w:tcPr>
            <w:tcW w:w="2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3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r>
    </w:tbl>
    <w:p>
      <w:pPr>
        <w:spacing w:after="0" w:line="59" w:lineRule="exact"/>
        <w:rPr>
          <w:sz w:val="20"/>
          <w:szCs w:val="20"/>
          <w:color w:val="auto"/>
        </w:rPr>
      </w:pPr>
    </w:p>
    <w:p>
      <w:pPr>
        <w:ind w:left="582" w:hanging="294"/>
        <w:spacing w:after="0"/>
        <w:tabs>
          <w:tab w:leader="none" w:pos="582"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adjusted before noncontrolling interest capital gains (losses).</w:t>
      </w:r>
    </w:p>
    <w:p>
      <w:pPr>
        <w:spacing w:after="0" w:line="188"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income (loss) from exited business included:</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tcPr>
          <w:p>
            <w:pPr>
              <w:jc w:val="right"/>
              <w:ind w:right="68"/>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40" w:type="dxa"/>
            <w:vAlign w:val="bottom"/>
            <w:gridSpan w:val="3"/>
          </w:tcPr>
          <w:p>
            <w:pPr>
              <w:jc w:val="right"/>
              <w:ind w:right="708"/>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funds withheld embedded derivative</w:t>
            </w:r>
          </w:p>
        </w:tc>
        <w:tc>
          <w:tcPr>
            <w:tcW w:w="3020" w:type="dxa"/>
            <w:vAlign w:val="bottom"/>
            <w:gridSpan w:val="2"/>
            <w:shd w:val="clear" w:color="auto" w:fill="CCEEFF"/>
          </w:tcPr>
          <w:p>
            <w:pPr>
              <w:jc w:val="right"/>
              <w:ind w:right="777"/>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(209.7)</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capital gains on funds withheld assets</w:t>
            </w:r>
          </w:p>
        </w:tc>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Amortization of reinsurance loss</w:t>
            </w:r>
          </w:p>
        </w:tc>
        <w:tc>
          <w:tcPr>
            <w:tcW w:w="2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(26.4)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impacts of exited business</w:t>
            </w:r>
          </w:p>
        </w:tc>
        <w:tc>
          <w:tcPr>
            <w:tcW w:w="2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172"/>
        </w:trPr>
        <w:tc>
          <w:tcPr>
            <w:tcW w:w="41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pre-tax income (loss) from exited business</w:t>
            </w:r>
          </w:p>
        </w:tc>
        <w:tc>
          <w:tcPr>
            <w:tcW w:w="2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(314.3)</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197.6</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120" w:type="dxa"/>
            <w:vAlign w:val="bottom"/>
            <w:vMerge w:val="restart"/>
          </w:tcPr>
          <w:p>
            <w:pPr>
              <w:jc w:val="right"/>
              <w:ind w:right="1402"/>
              <w:spacing w:after="0"/>
              <w:rPr>
                <w:sz w:val="20"/>
                <w:szCs w:val="20"/>
                <w:color w:val="auto"/>
              </w:rPr>
            </w:pPr>
            <w:r>
              <w:rPr>
                <w:rFonts w:ascii="Times New Roman" w:cs="Times New Roman" w:eastAsia="Times New Roman" w:hAnsi="Times New Roman"/>
                <w:sz w:val="16"/>
                <w:szCs w:val="16"/>
                <w:color w:val="auto"/>
              </w:rPr>
              <w:t>102</w:t>
            </w: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41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2"/>
          </w:cols>
          <w:pgMar w:left="1278" w:top="557" w:right="1280" w:bottom="1440" w:gutter="0" w:footer="0" w:header="0"/>
        </w:sectPr>
      </w:pPr>
    </w:p>
    <w:bookmarkStart w:id="102" w:name="page103"/>
    <w:bookmarkEnd w:id="10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19. Revenues from Contracts with Customers</w:t>
      </w:r>
    </w:p>
    <w:p>
      <w:pPr>
        <w:spacing w:after="0" w:line="190" w:lineRule="exact"/>
        <w:rPr>
          <w:sz w:val="20"/>
          <w:szCs w:val="20"/>
          <w:color w:val="auto"/>
        </w:rPr>
      </w:pPr>
    </w:p>
    <w:p>
      <w:pPr>
        <w:ind w:left="2" w:right="8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tables summarize disaggregation of revenues from contracts with customers, including select financial information by segment, and reconcile totals to those reported in the consolidated financial statements. Revenues from contracts with customers are included in fees and other revenues on the consolidated statements of operations.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2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23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82"/>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1000" w:type="dxa"/>
            <w:vAlign w:val="bottom"/>
          </w:tcPr>
          <w:p>
            <w:pPr>
              <w:spacing w:after="0"/>
              <w:rPr>
                <w:sz w:val="11"/>
                <w:szCs w:val="11"/>
                <w:color w:val="auto"/>
              </w:rPr>
            </w:pPr>
          </w:p>
        </w:tc>
      </w:tr>
      <w:tr>
        <w:trPr>
          <w:trHeight w:val="180"/>
        </w:trPr>
        <w:tc>
          <w:tcPr>
            <w:tcW w:w="63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 from contracts with customers by segment:</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63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Retirement and Income Solutions</w:t>
            </w:r>
          </w:p>
        </w:tc>
        <w:tc>
          <w:tcPr>
            <w:tcW w:w="800" w:type="dxa"/>
            <w:vAlign w:val="bottom"/>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145.7</w:t>
            </w:r>
          </w:p>
        </w:tc>
        <w:tc>
          <w:tcPr>
            <w:tcW w:w="62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159.3</w:t>
            </w:r>
          </w:p>
        </w:tc>
      </w:tr>
      <w:tr>
        <w:trPr>
          <w:trHeight w:val="180"/>
        </w:trPr>
        <w:tc>
          <w:tcPr>
            <w:tcW w:w="63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Principal Asset Management:</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63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Management</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426.7</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407.1</w:t>
            </w:r>
          </w:p>
        </w:tc>
      </w:tr>
      <w:tr>
        <w:trPr>
          <w:trHeight w:val="180"/>
        </w:trPr>
        <w:tc>
          <w:tcPr>
            <w:tcW w:w="63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International Pension</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92.4</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93.3</w:t>
            </w:r>
          </w:p>
        </w:tc>
      </w:tr>
      <w:tr>
        <w:trPr>
          <w:trHeight w:val="180"/>
        </w:trPr>
        <w:tc>
          <w:tcPr>
            <w:tcW w:w="63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Eliminations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r>
      <w:tr>
        <w:trPr>
          <w:trHeight w:val="172"/>
        </w:trPr>
        <w:tc>
          <w:tcPr>
            <w:tcW w:w="6380" w:type="dxa"/>
            <w:vAlign w:val="bottom"/>
            <w:gridSpan w:val="2"/>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Principal Asset Management</w:t>
            </w: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514.7</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496.6</w:t>
            </w:r>
          </w:p>
        </w:tc>
      </w:tr>
      <w:tr>
        <w:trPr>
          <w:trHeight w:val="180"/>
        </w:trPr>
        <w:tc>
          <w:tcPr>
            <w:tcW w:w="63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Benefits and Protection:</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63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r>
      <w:tr>
        <w:trPr>
          <w:trHeight w:val="180"/>
        </w:trPr>
        <w:tc>
          <w:tcPr>
            <w:tcW w:w="638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21.1</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r>
      <w:tr>
        <w:trPr>
          <w:trHeight w:val="172"/>
        </w:trPr>
        <w:tc>
          <w:tcPr>
            <w:tcW w:w="6380" w:type="dxa"/>
            <w:vAlign w:val="bottom"/>
            <w:gridSpan w:val="2"/>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Benefits and Protection</w:t>
            </w: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24.7</w:t>
            </w:r>
          </w:p>
        </w:tc>
      </w:tr>
      <w:tr>
        <w:trPr>
          <w:trHeight w:val="180"/>
        </w:trPr>
        <w:tc>
          <w:tcPr>
            <w:tcW w:w="63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60.6</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57.9</w:t>
            </w:r>
          </w:p>
        </w:tc>
      </w:tr>
      <w:tr>
        <w:trPr>
          <w:trHeight w:val="172"/>
        </w:trPr>
        <w:tc>
          <w:tcPr>
            <w:tcW w:w="638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segment revenue from contracts with customers</w:t>
            </w: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745.8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738.5</w:t>
            </w:r>
          </w:p>
        </w:tc>
      </w:tr>
      <w:tr>
        <w:trPr>
          <w:trHeight w:val="180"/>
        </w:trPr>
        <w:tc>
          <w:tcPr>
            <w:tcW w:w="63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 for fees and other revenues not within the scope of revenue recognition guidance (1)</w:t>
            </w:r>
          </w:p>
        </w:tc>
        <w:tc>
          <w:tcPr>
            <w:tcW w:w="8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314.5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295.1</w:t>
            </w:r>
          </w:p>
        </w:tc>
      </w:tr>
      <w:tr>
        <w:trPr>
          <w:trHeight w:val="180"/>
        </w:trPr>
        <w:tc>
          <w:tcPr>
            <w:tcW w:w="63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Pre-tax other adjustments (2)</w:t>
            </w:r>
          </w:p>
        </w:tc>
        <w:tc>
          <w:tcPr>
            <w:tcW w:w="8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17.4</w:t>
            </w: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19.3</w:t>
            </w:r>
          </w:p>
        </w:tc>
      </w:tr>
      <w:tr>
        <w:trPr>
          <w:trHeight w:val="172"/>
        </w:trPr>
        <w:tc>
          <w:tcPr>
            <w:tcW w:w="63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fees and other revenues per consolidated statements of operations</w:t>
            </w:r>
          </w:p>
        </w:tc>
        <w:tc>
          <w:tcPr>
            <w:tcW w:w="8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5"/>
              </w:rPr>
              <w:t>1,077.7</w:t>
            </w:r>
          </w:p>
        </w:tc>
        <w:tc>
          <w:tcPr>
            <w:tcW w:w="240" w:type="dxa"/>
            <w:vAlign w:val="bottom"/>
          </w:tcPr>
          <w:p>
            <w:pPr>
              <w:spacing w:after="0"/>
              <w:rPr>
                <w:sz w:val="14"/>
                <w:szCs w:val="14"/>
                <w:color w:val="auto"/>
              </w:rPr>
            </w:pPr>
          </w:p>
        </w:tc>
        <w:tc>
          <w:tcPr>
            <w:tcW w:w="380" w:type="dxa"/>
            <w:vAlign w:val="bottom"/>
            <w:tcBorders>
              <w:bottom w:val="single" w:sz="8" w:color="auto"/>
            </w:tcBorders>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1,052.9</w:t>
            </w:r>
          </w:p>
        </w:tc>
      </w:tr>
      <w:tr>
        <w:trPr>
          <w:trHeight w:val="20"/>
        </w:trPr>
        <w:tc>
          <w:tcPr>
            <w:tcW w:w="2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59" w:lineRule="exact"/>
        <w:rPr>
          <w:sz w:val="20"/>
          <w:szCs w:val="20"/>
          <w:color w:val="auto"/>
        </w:rPr>
      </w:pPr>
    </w:p>
    <w:p>
      <w:pPr>
        <w:ind w:left="282" w:right="120" w:hanging="282"/>
        <w:spacing w:after="0" w:line="246" w:lineRule="auto"/>
        <w:tabs>
          <w:tab w:leader="none" w:pos="28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other revenues not within the scope of the revenue recognition guidance primarily represent revenue on contracts accounted for under the financial instruments or insurance contracts standards.</w:t>
      </w:r>
    </w:p>
    <w:p>
      <w:pPr>
        <w:ind w:left="282" w:hanging="282"/>
        <w:spacing w:after="0"/>
        <w:tabs>
          <w:tab w:leader="none" w:pos="28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other adjustments relate to revenues from exited business, certain variable annuity fees and market value adjustments to fee revenues.</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w:t>
      </w:r>
    </w:p>
    <w:p>
      <w:pPr>
        <w:spacing w:after="0" w:line="192" w:lineRule="exact"/>
        <w:rPr>
          <w:sz w:val="20"/>
          <w:szCs w:val="20"/>
          <w:color w:val="auto"/>
        </w:rPr>
      </w:pPr>
    </w:p>
    <w:p>
      <w:pPr>
        <w:ind w:left="2" w:firstLine="576"/>
        <w:spacing w:after="0" w:line="241" w:lineRule="auto"/>
        <w:rPr>
          <w:sz w:val="20"/>
          <w:szCs w:val="20"/>
          <w:color w:val="auto"/>
        </w:rPr>
      </w:pPr>
      <w:r>
        <w:rPr>
          <w:rFonts w:ascii="Times New Roman" w:cs="Times New Roman" w:eastAsia="Times New Roman" w:hAnsi="Times New Roman"/>
          <w:sz w:val="16"/>
          <w:szCs w:val="16"/>
          <w:color w:val="auto"/>
        </w:rPr>
        <w:t>Retirement and Income Solutions offers service and trust agreements for defined contribution retirement plans, including 401(k) plans, 403(b) plans, and employee stock ownership plans. The investment components of these service agreements are in the form of mutual fund offerings. In addition, plan sponsor retirement plan trust and custody services are also available through our trust company. Individual retirement accounts (“IRAs”) are offered through Principal Bank. Furthermore, services and trust agreements are offered to non-retirement customers including insurance companies, endowments and other financial institutions.</w:t>
      </w:r>
    </w:p>
    <w:p>
      <w:pPr>
        <w:spacing w:after="0" w:line="169" w:lineRule="exact"/>
        <w:rPr>
          <w:sz w:val="20"/>
          <w:szCs w:val="20"/>
          <w:color w:val="auto"/>
        </w:rPr>
      </w:pPr>
    </w:p>
    <w:p>
      <w:pPr>
        <w:ind w:left="2" w:right="20" w:firstLine="576"/>
        <w:spacing w:after="0" w:line="239" w:lineRule="auto"/>
        <w:rPr>
          <w:sz w:val="20"/>
          <w:szCs w:val="20"/>
          <w:color w:val="auto"/>
        </w:rPr>
      </w:pPr>
      <w:r>
        <w:rPr>
          <w:rFonts w:ascii="Times New Roman" w:cs="Times New Roman" w:eastAsia="Times New Roman" w:hAnsi="Times New Roman"/>
          <w:sz w:val="16"/>
          <w:szCs w:val="16"/>
          <w:color w:val="auto"/>
        </w:rPr>
        <w:t>Administrative service fee revenues are earned for administrative activities performed for the defined contribution retirement plans including recordkeeping and reporting as well as trust and custody, asset management and investment services. Administrative service fee revenues are earned for administrative activities performed for non-retirement plan customers including trust and custody services, defined benefit administration and investment management activities. The majority of these activities are performed daily over time. Fee-for-service transactions are also provided upon client request. These services are considered distinct or grouped into a bundle until a distinct performance obligation is identified. Some performance obligations are considered a series of distinct services, which are substantially the same and have the same pattern of transfer to the customer.</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03" w:name="page104"/>
    <w:bookmarkEnd w:id="10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ind w:right="40"/>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Administrative service fee revenues can be based on a fixed contractual rate for these services or can be variable based upon contractual rates applied to the market value of the client’s investments or assets under administration. If the consideration for this series of performance obligations is based on market value, it is considered variable during the billing period as the services are performed over time. The consideration becomes unconstrained and thus recognized as revenue for each billing period’s series of distinct services once the market value of the client’s investments or assets under administration is determined at market close. Additionally, fixed fees and other revenues are recognized point-in-time as fee-for-service transactions upon completion.</w:t>
      </w:r>
    </w:p>
    <w:p>
      <w:pPr>
        <w:spacing w:after="0" w:line="173"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IRAs are primarily funded by retirement savings rolled over from qualified retirement plans. The IRAs are held in savings accounts, money market accounts and certificates of deposit. Deposit account fee revenues are earned as the performance of establishing and maintaining IRA accounts is completed. Fee -for-service transactions are also provided upon client request. The establishment fees and annual maintenance fees are accrued into earnings over a period of time using the average account life. Upfront and recurring bank fees are related to performance obligations that have the same pattern of transfer to the customer and are recognized in income over time with control transferred to the customers utilizing the output method. These fees are based on a fixed contractual rate. Fixed fees and other revenues are also recognized point-in-time as fee-for-service transactions upon completion. Additionally, commission income is earned on advisory services provided to customers. The revenues are earned over time as the service is performed based upon contractual rates applied to the market value of the clients’ portfolios.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types of revenues from contracts with customers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5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5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2"/>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00" w:type="dxa"/>
            <w:vAlign w:val="bottom"/>
          </w:tcPr>
          <w:p>
            <w:pPr>
              <w:spacing w:after="0"/>
              <w:rPr>
                <w:sz w:val="11"/>
                <w:szCs w:val="11"/>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Administrative service fee revenue</w:t>
            </w:r>
          </w:p>
        </w:tc>
        <w:tc>
          <w:tcPr>
            <w:tcW w:w="10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141.2</w:t>
            </w:r>
          </w:p>
        </w:tc>
        <w:tc>
          <w:tcPr>
            <w:tcW w:w="58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155.5</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Deposit account fee revenue</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Commission income</w:t>
            </w:r>
          </w:p>
        </w:tc>
        <w:tc>
          <w:tcPr>
            <w:tcW w:w="8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72"/>
        </w:trPr>
        <w:tc>
          <w:tcPr>
            <w:tcW w:w="57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145.7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159.3</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279.3</w:t>
            </w:r>
          </w:p>
        </w:tc>
      </w:tr>
      <w:tr>
        <w:trPr>
          <w:trHeight w:val="172"/>
        </w:trPr>
        <w:tc>
          <w:tcPr>
            <w:tcW w:w="5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441.2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438.6</w:t>
            </w: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810.3</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765.6</w:t>
            </w:r>
          </w:p>
        </w:tc>
      </w:tr>
      <w:tr>
        <w:trPr>
          <w:trHeight w:val="180"/>
        </w:trPr>
        <w:tc>
          <w:tcPr>
            <w:tcW w:w="5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823.7</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728.2</w:t>
            </w:r>
          </w:p>
        </w:tc>
      </w:tr>
      <w:tr>
        <w:trPr>
          <w:trHeight w:val="172"/>
        </w:trPr>
        <w:tc>
          <w:tcPr>
            <w:tcW w:w="57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2,075.2</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1,932.4</w:t>
            </w:r>
          </w:p>
        </w:tc>
      </w:tr>
      <w:tr>
        <w:trPr>
          <w:trHeight w:val="20"/>
        </w:trPr>
        <w:tc>
          <w:tcPr>
            <w:tcW w:w="5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Asset Management</w:t>
      </w:r>
    </w:p>
    <w:p>
      <w:pPr>
        <w:spacing w:after="0" w:line="190"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Fees and other revenues earned for asset management, investment advisory and distribution services provided to institutional and retail clients in addition to trustee and/or administrative services performed for retirement savings plans. Fees are based largely upon contractual rates applied to the specified amounts of the clients’ portfolios. Each service is a distinct performance obligation; however, if the services are not distinct on their own, we combine them into a distinct bundle or we have a series of distinct services that are substantially the same and have the same pattern of transfer to the customer. Fees and other revenues received for performance obligations such as asset management and other services are typically recognized over time utilizing the output method as the service is performed. Performance fees and transaction fees on certain accounts are recognized in income when the probability of significant reversal will not occur upon resolution of the uncertainty, which could be based on a variety of factors such as market performance or other internal metrics. Asset management fees are accrued each month based on the fee terms within the applicable agreement and are generally billed quarterly when values used for the calculation are available. Management fees and performance fees are variable consideration as they are subject to fluctuation based on assets under management (“AUM”) and other constraints. These fees are not recognized until unconstrained at the end of each reporting period.</w:t>
      </w:r>
    </w:p>
    <w:p>
      <w:pPr>
        <w:spacing w:after="0" w:line="174" w:lineRule="exact"/>
        <w:rPr>
          <w:sz w:val="20"/>
          <w:szCs w:val="20"/>
          <w:color w:val="auto"/>
        </w:rPr>
      </w:pPr>
    </w:p>
    <w:p>
      <w:pPr>
        <w:ind w:right="640" w:firstLine="576"/>
        <w:spacing w:after="0" w:line="259" w:lineRule="auto"/>
        <w:rPr>
          <w:sz w:val="20"/>
          <w:szCs w:val="20"/>
          <w:color w:val="auto"/>
        </w:rPr>
      </w:pPr>
      <w:r>
        <w:rPr>
          <w:rFonts w:ascii="Times New Roman" w:cs="Times New Roman" w:eastAsia="Times New Roman" w:hAnsi="Times New Roman"/>
          <w:sz w:val="16"/>
          <w:szCs w:val="16"/>
          <w:color w:val="auto"/>
        </w:rPr>
        <w:t>Incentive-based fees are recognized in income when the probability of significant reversal will not occur upon the resolution of the uncertainty, which is based on market performance.</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0"/>
          </w:cols>
          <w:pgMar w:left="1280" w:top="557" w:right="1240" w:bottom="1440" w:gutter="0" w:footer="0" w:header="0"/>
        </w:sectPr>
      </w:pPr>
    </w:p>
    <w:bookmarkStart w:id="104" w:name="page105"/>
    <w:bookmarkEnd w:id="10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jc w:val="both"/>
        <w:ind w:right="140" w:firstLine="576"/>
        <w:spacing w:after="0" w:line="247" w:lineRule="auto"/>
        <w:rPr>
          <w:sz w:val="20"/>
          <w:szCs w:val="20"/>
          <w:color w:val="auto"/>
        </w:rPr>
      </w:pPr>
      <w:r>
        <w:rPr>
          <w:rFonts w:ascii="Times New Roman" w:cs="Times New Roman" w:eastAsia="Times New Roman" w:hAnsi="Times New Roman"/>
          <w:sz w:val="16"/>
          <w:szCs w:val="16"/>
          <w:color w:val="auto"/>
        </w:rPr>
        <w:t>Fees for managing customers’ mandatory retirement savings accounts in Latin America are collected with each monthly deposit made by our customers. If a customer stops contributing before retirement age, we collect no fees but services are still provided. We recognize revenue from these contracts as services are performed over the life of the contract and review annually.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types of revenues from contracts with customers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5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2"/>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80" w:type="dxa"/>
            <w:vAlign w:val="bottom"/>
          </w:tcPr>
          <w:p>
            <w:pPr>
              <w:spacing w:after="0"/>
              <w:rPr>
                <w:sz w:val="11"/>
                <w:szCs w:val="11"/>
                <w:color w:val="auto"/>
              </w:rPr>
            </w:pPr>
          </w:p>
        </w:tc>
      </w:tr>
      <w:tr>
        <w:trPr>
          <w:trHeight w:val="180"/>
        </w:trPr>
        <w:tc>
          <w:tcPr>
            <w:tcW w:w="5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Investment Management:</w:t>
            </w: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Management fee revenue</w:t>
            </w:r>
          </w:p>
        </w:tc>
        <w:tc>
          <w:tcPr>
            <w:tcW w:w="1620" w:type="dxa"/>
            <w:vAlign w:val="bottom"/>
            <w:gridSpan w:val="2"/>
          </w:tcPr>
          <w:p>
            <w:pPr>
              <w:jc w:val="right"/>
              <w:ind w:right="637"/>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389.1</w:t>
            </w:r>
          </w:p>
        </w:tc>
        <w:tc>
          <w:tcPr>
            <w:tcW w:w="58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370.5</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fee revenue</w:t>
            </w:r>
          </w:p>
        </w:tc>
        <w:tc>
          <w:tcPr>
            <w:tcW w:w="8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37.6</w:t>
            </w:r>
          </w:p>
        </w:tc>
        <w:tc>
          <w:tcPr>
            <w:tcW w:w="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36.6</w:t>
            </w:r>
          </w:p>
        </w:tc>
      </w:tr>
      <w:tr>
        <w:trPr>
          <w:trHeight w:val="172"/>
        </w:trPr>
        <w:tc>
          <w:tcPr>
            <w:tcW w:w="582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426.7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407.1</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w:t>
            </w:r>
          </w:p>
        </w:tc>
        <w:tc>
          <w:tcPr>
            <w:tcW w:w="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72"/>
        </w:trPr>
        <w:tc>
          <w:tcPr>
            <w:tcW w:w="58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429.5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412.3</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w:t>
            </w:r>
          </w:p>
        </w:tc>
        <w:tc>
          <w:tcPr>
            <w:tcW w:w="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23.2</w:t>
            </w:r>
          </w:p>
        </w:tc>
      </w:tr>
      <w:tr>
        <w:trPr>
          <w:trHeight w:val="172"/>
        </w:trPr>
        <w:tc>
          <w:tcPr>
            <w:tcW w:w="58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60" w:type="dxa"/>
            <w:vAlign w:val="bottom"/>
          </w:tcPr>
          <w:p>
            <w:pPr>
              <w:spacing w:after="0"/>
              <w:rPr>
                <w:sz w:val="14"/>
                <w:szCs w:val="14"/>
                <w:color w:val="auto"/>
              </w:rPr>
            </w:pPr>
          </w:p>
        </w:tc>
        <w:tc>
          <w:tcPr>
            <w:tcW w:w="7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453.7</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435.5</w:t>
            </w:r>
          </w:p>
        </w:tc>
      </w:tr>
      <w:tr>
        <w:trPr>
          <w:trHeight w:val="20"/>
        </w:trPr>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324"/>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5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2"/>
          </w:tcPr>
          <w:p>
            <w:pPr>
              <w:jc w:val="right"/>
              <w:ind w:right="6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880" w:type="dxa"/>
            <w:vAlign w:val="bottom"/>
          </w:tcPr>
          <w:p>
            <w:pPr>
              <w:spacing w:after="0"/>
              <w:rPr>
                <w:sz w:val="11"/>
                <w:szCs w:val="11"/>
                <w:color w:val="auto"/>
              </w:rPr>
            </w:pPr>
          </w:p>
        </w:tc>
      </w:tr>
      <w:tr>
        <w:trPr>
          <w:trHeight w:val="180"/>
        </w:trPr>
        <w:tc>
          <w:tcPr>
            <w:tcW w:w="5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International Pension:</w:t>
            </w: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Management fee revenue</w:t>
            </w:r>
          </w:p>
        </w:tc>
        <w:tc>
          <w:tcPr>
            <w:tcW w:w="1620" w:type="dxa"/>
            <w:vAlign w:val="bottom"/>
            <w:gridSpan w:val="2"/>
          </w:tcPr>
          <w:p>
            <w:pPr>
              <w:jc w:val="right"/>
              <w:ind w:right="637"/>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89.2</w:t>
            </w:r>
          </w:p>
        </w:tc>
        <w:tc>
          <w:tcPr>
            <w:tcW w:w="58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fee revenue</w:t>
            </w:r>
          </w:p>
        </w:tc>
        <w:tc>
          <w:tcPr>
            <w:tcW w:w="8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w:t>
            </w:r>
          </w:p>
        </w:tc>
        <w:tc>
          <w:tcPr>
            <w:tcW w:w="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72"/>
        </w:trPr>
        <w:tc>
          <w:tcPr>
            <w:tcW w:w="582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92.4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93.3</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w:t>
            </w:r>
          </w:p>
        </w:tc>
        <w:tc>
          <w:tcPr>
            <w:tcW w:w="2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72"/>
        </w:trPr>
        <w:tc>
          <w:tcPr>
            <w:tcW w:w="582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93.6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94.6</w:t>
            </w:r>
          </w:p>
        </w:tc>
      </w:tr>
      <w:tr>
        <w:trPr>
          <w:trHeight w:val="180"/>
        </w:trPr>
        <w:tc>
          <w:tcPr>
            <w:tcW w:w="58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58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142.5</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127.2</w:t>
            </w:r>
          </w:p>
        </w:tc>
      </w:tr>
      <w:tr>
        <w:trPr>
          <w:trHeight w:val="172"/>
        </w:trPr>
        <w:tc>
          <w:tcPr>
            <w:tcW w:w="582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237.8</w:t>
            </w:r>
          </w:p>
        </w:tc>
        <w:tc>
          <w:tcPr>
            <w:tcW w:w="2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223.8</w:t>
            </w:r>
          </w:p>
        </w:tc>
      </w:tr>
      <w:tr>
        <w:trPr>
          <w:trHeight w:val="20"/>
        </w:trPr>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Benefits and Protection</w:t>
      </w:r>
    </w:p>
    <w:p>
      <w:pPr>
        <w:spacing w:after="0" w:line="190" w:lineRule="exact"/>
        <w:rPr>
          <w:sz w:val="20"/>
          <w:szCs w:val="20"/>
          <w:color w:val="auto"/>
        </w:rPr>
      </w:pPr>
    </w:p>
    <w:p>
      <w:pPr>
        <w:ind w:right="40" w:firstLine="576"/>
        <w:spacing w:after="0" w:line="284" w:lineRule="auto"/>
        <w:rPr>
          <w:sz w:val="20"/>
          <w:szCs w:val="20"/>
          <w:color w:val="auto"/>
        </w:rPr>
      </w:pPr>
      <w:r>
        <w:rPr>
          <w:rFonts w:ascii="Times New Roman" w:cs="Times New Roman" w:eastAsia="Times New Roman" w:hAnsi="Times New Roman"/>
          <w:sz w:val="14"/>
          <w:szCs w:val="14"/>
          <w:color w:val="auto"/>
        </w:rPr>
        <w:t>Fees and other revenues are earned for administrative services performed including recordkeeping and reporting services for fee-for-service products, nonqualified benefit plans, separate accounts and dental networks. Services within contracts are not distinct on their own; however, we combine the services into a distinct bundle and account for the bundle as a single performance obligation, which is satisfied over time utilizing the output method as services are rendered. The transaction price corresponds with the performance completed to date, for which the value is recognized as revenue during the period. Variability of consideration is resolved at the end of each period and payments are due when billed.</w:t>
      </w:r>
    </w:p>
    <w:p>
      <w:pPr>
        <w:spacing w:after="0" w:line="140"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Commission income is earned through sponsored brokerage services. Performance obligations are satisfied at a point in time, upon delivery of a placed case, and the transaction price calculated per the compensation schedule is recognized as revenue.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5" w:name="page106"/>
    <w:bookmarkEnd w:id="10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types of revenues from contracts with customers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4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10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60" w:type="dxa"/>
            <w:vAlign w:val="bottom"/>
          </w:tcPr>
          <w:p>
            <w:pPr>
              <w:spacing w:after="0"/>
              <w:rPr>
                <w:sz w:val="11"/>
                <w:szCs w:val="11"/>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Specialty Benefits: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Administrative service fees</w:t>
            </w:r>
          </w:p>
        </w:tc>
        <w:tc>
          <w:tcPr>
            <w:tcW w:w="840" w:type="dxa"/>
            <w:vAlign w:val="bottom"/>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w:t>
            </w:r>
          </w:p>
        </w:tc>
        <w:tc>
          <w:tcPr>
            <w:tcW w:w="620" w:type="dxa"/>
            <w:vAlign w:val="bottom"/>
            <w:gridSpan w:val="2"/>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r>
      <w:tr>
        <w:trPr>
          <w:trHeight w:val="172"/>
        </w:trPr>
        <w:tc>
          <w:tcPr>
            <w:tcW w:w="644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w:t>
            </w: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w:t>
            </w:r>
          </w:p>
        </w:tc>
      </w:tr>
      <w:tr>
        <w:trPr>
          <w:trHeight w:val="180"/>
        </w:trPr>
        <w:tc>
          <w:tcPr>
            <w:tcW w:w="64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72"/>
        </w:trPr>
        <w:tc>
          <w:tcPr>
            <w:tcW w:w="64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8.3</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8.4</w:t>
            </w: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8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823.2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792.9</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52.4</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47.0</w:t>
            </w:r>
          </w:p>
        </w:tc>
      </w:tr>
      <w:tr>
        <w:trPr>
          <w:trHeight w:val="172"/>
        </w:trPr>
        <w:tc>
          <w:tcPr>
            <w:tcW w:w="6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883.9</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848.3</w:t>
            </w:r>
          </w:p>
        </w:tc>
      </w:tr>
      <w:tr>
        <w:trPr>
          <w:trHeight w:val="20"/>
        </w:trPr>
        <w:tc>
          <w:tcPr>
            <w:tcW w:w="64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348"/>
        </w:trPr>
        <w:tc>
          <w:tcPr>
            <w:tcW w:w="6440" w:type="dxa"/>
            <w:vAlign w:val="bottom"/>
          </w:tcPr>
          <w:p>
            <w:pPr>
              <w:spacing w:after="0"/>
              <w:rPr>
                <w:sz w:val="24"/>
                <w:szCs w:val="24"/>
                <w:color w:val="auto"/>
              </w:rPr>
            </w:pPr>
          </w:p>
        </w:tc>
        <w:tc>
          <w:tcPr>
            <w:tcW w:w="2900" w:type="dxa"/>
            <w:vAlign w:val="bottom"/>
            <w:tcBorders>
              <w:bottom w:val="single" w:sz="8" w:color="auto"/>
            </w:tcBorders>
            <w:gridSpan w:val="5"/>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4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2"/>
          </w:tcPr>
          <w:p>
            <w:pPr>
              <w:jc w:val="right"/>
              <w:ind w:right="10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60" w:type="dxa"/>
            <w:vAlign w:val="bottom"/>
          </w:tcPr>
          <w:p>
            <w:pPr>
              <w:spacing w:after="0"/>
              <w:rPr>
                <w:sz w:val="11"/>
                <w:szCs w:val="11"/>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Life Insurance: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Administrative service fees</w:t>
            </w:r>
          </w:p>
        </w:tc>
        <w:tc>
          <w:tcPr>
            <w:tcW w:w="840" w:type="dxa"/>
            <w:vAlign w:val="bottom"/>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w:t>
            </w:r>
          </w:p>
        </w:tc>
        <w:tc>
          <w:tcPr>
            <w:tcW w:w="620" w:type="dxa"/>
            <w:vAlign w:val="bottom"/>
            <w:gridSpan w:val="2"/>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Commission income</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10.2</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w:t>
            </w:r>
          </w:p>
        </w:tc>
      </w:tr>
      <w:tr>
        <w:trPr>
          <w:trHeight w:val="172"/>
        </w:trPr>
        <w:tc>
          <w:tcPr>
            <w:tcW w:w="64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4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20.9</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89.6</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84.2</w:t>
            </w:r>
          </w:p>
        </w:tc>
      </w:tr>
      <w:tr>
        <w:trPr>
          <w:trHeight w:val="172"/>
        </w:trPr>
        <w:tc>
          <w:tcPr>
            <w:tcW w:w="6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40" w:type="dxa"/>
            <w:vAlign w:val="bottom"/>
          </w:tcPr>
          <w:p>
            <w:pPr>
              <w:spacing w:after="0"/>
              <w:rPr>
                <w:sz w:val="14"/>
                <w:szCs w:val="14"/>
                <w:color w:val="auto"/>
              </w:rPr>
            </w:pPr>
          </w:p>
        </w:tc>
        <w:tc>
          <w:tcPr>
            <w:tcW w:w="4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110.7</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105.1</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124.4</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128.9</w:t>
            </w:r>
          </w:p>
        </w:tc>
      </w:tr>
      <w:tr>
        <w:trPr>
          <w:trHeight w:val="180"/>
        </w:trPr>
        <w:tc>
          <w:tcPr>
            <w:tcW w:w="64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95.4</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103.8</w:t>
            </w:r>
          </w:p>
        </w:tc>
      </w:tr>
      <w:tr>
        <w:trPr>
          <w:trHeight w:val="172"/>
        </w:trPr>
        <w:tc>
          <w:tcPr>
            <w:tcW w:w="64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4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330.5</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337.8</w:t>
            </w: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w:t>
      </w:r>
    </w:p>
    <w:p>
      <w:pPr>
        <w:spacing w:after="0" w:line="190" w:lineRule="exact"/>
        <w:rPr>
          <w:sz w:val="20"/>
          <w:szCs w:val="20"/>
          <w:color w:val="auto"/>
        </w:rPr>
      </w:pPr>
    </w:p>
    <w:p>
      <w:pPr>
        <w:ind w:right="220" w:firstLine="576"/>
        <w:spacing w:after="0" w:line="259" w:lineRule="auto"/>
        <w:rPr>
          <w:sz w:val="20"/>
          <w:szCs w:val="20"/>
          <w:color w:val="auto"/>
        </w:rPr>
      </w:pPr>
      <w:r>
        <w:rPr>
          <w:rFonts w:ascii="Times New Roman" w:cs="Times New Roman" w:eastAsia="Times New Roman" w:hAnsi="Times New Roman"/>
          <w:sz w:val="16"/>
          <w:szCs w:val="16"/>
          <w:color w:val="auto"/>
        </w:rPr>
        <w:t>Fees and other revenues are earned on the performance of selling and servicing of securities and related products offered through PSI, an introducing broker-dealer registered with the FINRA.</w:t>
      </w:r>
    </w:p>
    <w:p>
      <w:pPr>
        <w:spacing w:after="0" w:line="155"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PSI enters into selling and distribution agreements with the obligation to sell or distribute the securities products, such as mutual funds, annuities and products sold through RIAs, to individual clients in return for front-end sales charges, 12b-1 service fees, annuity fees and asset-based fees. Front- end sales charges, 12b-1 fees and annuity fees are related to a single sale and are earned at the time of sale. PSI also enters into agreements with individual customers to provide securities trade execution and custody through a brokerage services platform in return for ticket charge and other service fee revenue. These services are bundled as one single distinct service referred to as brokerage services. This revenue is related to distinct transactions and is earned at a point in time.</w:t>
      </w:r>
    </w:p>
    <w:p>
      <w:pPr>
        <w:spacing w:after="0" w:line="17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PSI also enters into agreements with individual customers to provide trade execution, clearing services, custody services and investment research services through our proprietary offered fee-based products. These services are bundled as one single distinct service referred to as advisory services. In addition, for outside RIA business PSI performs sales and distribution services only. The revenues are earned over time as the service is performed utilizing the output method.</w:t>
      </w:r>
    </w:p>
    <w:p>
      <w:pPr>
        <w:spacing w:after="0" w:line="167" w:lineRule="exact"/>
        <w:rPr>
          <w:sz w:val="20"/>
          <w:szCs w:val="20"/>
          <w:color w:val="auto"/>
        </w:rPr>
      </w:pPr>
    </w:p>
    <w:p>
      <w:pPr>
        <w:ind w:right="380" w:firstLine="576"/>
        <w:spacing w:after="0" w:line="259" w:lineRule="auto"/>
        <w:rPr>
          <w:sz w:val="20"/>
          <w:szCs w:val="20"/>
          <w:color w:val="auto"/>
        </w:rPr>
      </w:pPr>
      <w:r>
        <w:rPr>
          <w:rFonts w:ascii="Times New Roman" w:cs="Times New Roman" w:eastAsia="Times New Roman" w:hAnsi="Times New Roman"/>
          <w:sz w:val="16"/>
          <w:szCs w:val="16"/>
          <w:color w:val="auto"/>
        </w:rPr>
        <w:t>A majority of our revenue is based upon contractual rates applied to the market value of the clients’ portfolios and considered variable consideration.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6" w:name="page107"/>
    <w:bookmarkEnd w:id="10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360" w:firstLine="576"/>
        <w:spacing w:after="0" w:line="259" w:lineRule="auto"/>
        <w:rPr>
          <w:sz w:val="20"/>
          <w:szCs w:val="20"/>
          <w:color w:val="auto"/>
        </w:rPr>
      </w:pPr>
      <w:r>
        <w:rPr>
          <w:rFonts w:ascii="Times New Roman" w:cs="Times New Roman" w:eastAsia="Times New Roman" w:hAnsi="Times New Roman"/>
          <w:sz w:val="16"/>
          <w:szCs w:val="16"/>
          <w:color w:val="auto"/>
        </w:rPr>
        <w:t>The Corporate segment also includes inter-segment eliminations of fees and other revenues. The types of revenues from contracts with customers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900" w:type="dxa"/>
            <w:vAlign w:val="bottom"/>
            <w:tcBorders>
              <w:bottom w:val="single" w:sz="8" w:color="auto"/>
            </w:tcBorders>
            <w:gridSpan w:val="6"/>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64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6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620" w:type="dxa"/>
            <w:vAlign w:val="bottom"/>
            <w:gridSpan w:val="3"/>
          </w:tcPr>
          <w:p>
            <w:pPr>
              <w:jc w:val="right"/>
              <w:ind w:right="102"/>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960" w:type="dxa"/>
            <w:vAlign w:val="bottom"/>
          </w:tcPr>
          <w:p>
            <w:pPr>
              <w:spacing w:after="0"/>
              <w:rPr>
                <w:sz w:val="11"/>
                <w:szCs w:val="11"/>
                <w:color w:val="auto"/>
              </w:rPr>
            </w:pP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Commission income</w:t>
            </w:r>
          </w:p>
        </w:tc>
        <w:tc>
          <w:tcPr>
            <w:tcW w:w="8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131.5</w:t>
            </w: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105.5</w:t>
            </w:r>
          </w:p>
        </w:tc>
      </w:tr>
      <w:tr>
        <w:trPr>
          <w:trHeight w:val="180"/>
        </w:trPr>
        <w:tc>
          <w:tcPr>
            <w:tcW w:w="6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fee revenue</w:t>
            </w:r>
          </w:p>
        </w:tc>
        <w:tc>
          <w:tcPr>
            <w:tcW w:w="84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21.7</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Eliminations</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(94.8)</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(69.3)</w:t>
            </w:r>
          </w:p>
        </w:tc>
      </w:tr>
      <w:tr>
        <w:trPr>
          <w:trHeight w:val="172"/>
        </w:trPr>
        <w:tc>
          <w:tcPr>
            <w:tcW w:w="64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8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57.9</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Fees and other revenues not within the scope of revenue recognition guidance</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(78.9)</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(79.3)</w:t>
            </w:r>
          </w:p>
        </w:tc>
      </w:tr>
      <w:tr>
        <w:trPr>
          <w:trHeight w:val="172"/>
        </w:trPr>
        <w:tc>
          <w:tcPr>
            <w:tcW w:w="6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fees and other revenues</w:t>
            </w:r>
          </w:p>
        </w:tc>
        <w:tc>
          <w:tcPr>
            <w:tcW w:w="8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(21.4)</w:t>
            </w:r>
          </w:p>
        </w:tc>
      </w:tr>
      <w:tr>
        <w:trPr>
          <w:trHeight w:val="180"/>
        </w:trPr>
        <w:tc>
          <w:tcPr>
            <w:tcW w:w="6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64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53.8</w:t>
            </w:r>
          </w:p>
        </w:tc>
      </w:tr>
      <w:tr>
        <w:trPr>
          <w:trHeight w:val="172"/>
        </w:trPr>
        <w:tc>
          <w:tcPr>
            <w:tcW w:w="64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84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w:t>
            </w: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Costs</w:t>
      </w:r>
    </w:p>
    <w:p>
      <w:pPr>
        <w:spacing w:after="0" w:line="190" w:lineRule="exact"/>
        <w:rPr>
          <w:sz w:val="20"/>
          <w:szCs w:val="20"/>
          <w:color w:val="auto"/>
        </w:rPr>
      </w:pPr>
    </w:p>
    <w:p>
      <w:pPr>
        <w:jc w:val="both"/>
        <w:ind w:right="100" w:firstLine="576"/>
        <w:spacing w:after="0" w:line="247" w:lineRule="auto"/>
        <w:rPr>
          <w:sz w:val="20"/>
          <w:szCs w:val="20"/>
          <w:color w:val="auto"/>
        </w:rPr>
      </w:pPr>
      <w:r>
        <w:rPr>
          <w:rFonts w:ascii="Times New Roman" w:cs="Times New Roman" w:eastAsia="Times New Roman" w:hAnsi="Times New Roman"/>
          <w:sz w:val="16"/>
          <w:szCs w:val="16"/>
          <w:color w:val="auto"/>
        </w:rPr>
        <w:t>Sales compensation and other incremental costs of obtaining a contract are capitalized and amortized over the period of contract benefit if the costs are expected to be recovered. The contract cost asset, which is included in other assets on the consolidated statements of financial position, was $158.7 million and $198.9 million as of March 31, 2025 and December 31, 2024, respectively.</w:t>
      </w:r>
    </w:p>
    <w:p>
      <w:pPr>
        <w:spacing w:after="0" w:line="164"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We apply the practical expedient for certain costs where we recognize the incremental costs of obtaining these contracts as an expense when incurred if the amortization period of the assets is one year or less. These costs, along with costs that are not deferrable, are included in operating expenses on the consolidated statements of operations.</w:t>
      </w:r>
    </w:p>
    <w:p>
      <w:pPr>
        <w:spacing w:after="0" w:line="164" w:lineRule="exact"/>
        <w:rPr>
          <w:sz w:val="20"/>
          <w:szCs w:val="20"/>
          <w:color w:val="auto"/>
        </w:rPr>
      </w:pPr>
    </w:p>
    <w:p>
      <w:pPr>
        <w:ind w:right="20" w:firstLine="576"/>
        <w:spacing w:after="0" w:line="238" w:lineRule="auto"/>
        <w:rPr>
          <w:sz w:val="20"/>
          <w:szCs w:val="20"/>
          <w:color w:val="auto"/>
        </w:rPr>
      </w:pPr>
      <w:r>
        <w:rPr>
          <w:rFonts w:ascii="Times New Roman" w:cs="Times New Roman" w:eastAsia="Times New Roman" w:hAnsi="Times New Roman"/>
          <w:sz w:val="16"/>
          <w:szCs w:val="16"/>
          <w:color w:val="auto"/>
        </w:rPr>
        <w:t>Deferred contract costs consist primarily of commissions and variable compensation. We amortize capitalized contract costs on a straight-line basis over the expected contract life, reflecting lapses as they are incurred. Deferred contract costs are subject to impairment testing on an annual basis, or when a triggering event occurs that could warrant an impairment. To the extent future revenues less future maintenance expenses are not adequate to cover the asset balance, an impairment is recognized. For the three months ended March 31, 2025 and 2024, $52.8 million and $9.5 million, respectively, of amortization expense was recorded in operating expenses on the consolidated statements of operations. Additionally, for the three months ended March 31, 2025 and 2024, $45.4 million and $0.0 million, respectively, of impairment loss was recognized in operating expenses on the consolidated statements of operations in relation to the costs capitalized. See Note 2, Other Intangible Assets, for further details of the agreement with BCT that led to the 2025 impairment.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Stock-Based Compensation Plans</w:t>
      </w:r>
    </w:p>
    <w:p>
      <w:pPr>
        <w:spacing w:after="0" w:line="190" w:lineRule="exact"/>
        <w:rPr>
          <w:sz w:val="20"/>
          <w:szCs w:val="20"/>
          <w:color w:val="auto"/>
        </w:rPr>
      </w:pPr>
    </w:p>
    <w:p>
      <w:pPr>
        <w:ind w:right="60" w:firstLine="576"/>
        <w:spacing w:after="0" w:line="276" w:lineRule="auto"/>
        <w:rPr>
          <w:sz w:val="20"/>
          <w:szCs w:val="20"/>
          <w:color w:val="auto"/>
        </w:rPr>
      </w:pPr>
      <w:r>
        <w:rPr>
          <w:rFonts w:ascii="Times New Roman" w:cs="Times New Roman" w:eastAsia="Times New Roman" w:hAnsi="Times New Roman"/>
          <w:sz w:val="14"/>
          <w:szCs w:val="14"/>
          <w:color w:val="auto"/>
        </w:rPr>
        <w:t>As of March 31, 2025, we had the 2021 Stock Incentive Plan, the 2020 Directors Stock Plan, the 2014 Stock Incentive Plan, the Employee Stock Purchase Plan, the 2014 Directors Stock Plan, the Amended and Restated 2010 Stock Incentive Plan, the 2005 Directors Stock Plan, the Stock Incentive Plan and the Directors Stock Plan (“Stock-Based Compensation Plans”). No new grants will be made under the 2020 Directors Stock Plan, the 2014 Stock Incentive Plan, the 2014 Directors Stock Plan, the Amended and Restated 2010 Stock Incentive Plan, the 2005 Directors Stock Plan, the Stock Incentive Plan or the Directors Stock Plan. Under the terms of the 2021 Stock Incentive Plan, grants may be nonqualified stock options, incentive stock options qualifying under Section 422 of the Internal Revenue Code, restricted stock, restricted stock units, stock appreciation rights, performance shares, performance units or other stock- based awards. To date, we have not granted any incentive stock options, restricted stock or performance units under any plans. As part of our fair value process, we assess the impact of material nonpublic information on our share price or expected volatility, as applicable, at the time of grant. No awards in 2025 required a fair value adjustment.</w:t>
      </w:r>
    </w:p>
    <w:p>
      <w:pPr>
        <w:spacing w:after="0" w:line="331" w:lineRule="exact"/>
        <w:rPr>
          <w:sz w:val="20"/>
          <w:szCs w:val="20"/>
          <w:color w:val="auto"/>
        </w:rPr>
      </w:pPr>
    </w:p>
    <w:p>
      <w:pPr>
        <w:ind w:right="160" w:firstLine="576"/>
        <w:spacing w:after="0" w:line="259" w:lineRule="auto"/>
        <w:rPr>
          <w:sz w:val="20"/>
          <w:szCs w:val="20"/>
          <w:color w:val="auto"/>
        </w:rPr>
      </w:pPr>
      <w:r>
        <w:rPr>
          <w:rFonts w:ascii="Times New Roman" w:cs="Times New Roman" w:eastAsia="Times New Roman" w:hAnsi="Times New Roman"/>
          <w:sz w:val="16"/>
          <w:szCs w:val="16"/>
          <w:color w:val="auto"/>
        </w:rPr>
        <w:t>As of March 31, 2025, the maximum number of new shares of common stock available for grant under the 2021 Stock Incentive Plan was 19.1 million.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7" w:name="page108"/>
    <w:bookmarkEnd w:id="10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320" w:firstLine="576"/>
        <w:spacing w:after="0" w:line="259" w:lineRule="auto"/>
        <w:rPr>
          <w:sz w:val="20"/>
          <w:szCs w:val="20"/>
          <w:color w:val="auto"/>
        </w:rPr>
      </w:pPr>
      <w:r>
        <w:rPr>
          <w:rFonts w:ascii="Times New Roman" w:cs="Times New Roman" w:eastAsia="Times New Roman" w:hAnsi="Times New Roman"/>
          <w:sz w:val="16"/>
          <w:szCs w:val="16"/>
          <w:color w:val="auto"/>
        </w:rPr>
        <w:t>For awards with graded vesting, we use an accelerated expense attribution method. The compensation cost that was charged against net income for stock-based awards granted under the Stock-Based Compensation Plans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380" w:type="dxa"/>
            <w:vAlign w:val="bottom"/>
            <w:tcBorders>
              <w:bottom w:val="single" w:sz="8" w:color="auto"/>
            </w:tcBorders>
          </w:tcPr>
          <w:p>
            <w:pPr>
              <w:spacing w:after="0"/>
              <w:rPr>
                <w:sz w:val="14"/>
                <w:szCs w:val="14"/>
                <w:color w:val="auto"/>
              </w:rPr>
            </w:pPr>
          </w:p>
        </w:tc>
      </w:tr>
      <w:tr>
        <w:trPr>
          <w:trHeight w:val="148"/>
        </w:trPr>
        <w:tc>
          <w:tcPr>
            <w:tcW w:w="6340" w:type="dxa"/>
            <w:vAlign w:val="bottom"/>
          </w:tcPr>
          <w:p>
            <w:pPr>
              <w:spacing w:after="0"/>
              <w:rPr>
                <w:sz w:val="12"/>
                <w:szCs w:val="12"/>
                <w:color w:val="auto"/>
              </w:rPr>
            </w:pPr>
          </w:p>
        </w:tc>
        <w:tc>
          <w:tcPr>
            <w:tcW w:w="920" w:type="dxa"/>
            <w:vAlign w:val="bottom"/>
            <w:tcBorders>
              <w:bottom w:val="single" w:sz="8" w:color="auto"/>
            </w:tcBorders>
          </w:tcPr>
          <w:p>
            <w:pPr>
              <w:jc w:val="right"/>
              <w:ind w:right="5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2"/>
                <w:szCs w:val="12"/>
                <w:color w:val="auto"/>
              </w:rPr>
            </w:pPr>
          </w:p>
        </w:tc>
      </w:tr>
      <w:tr>
        <w:trPr>
          <w:trHeight w:val="136"/>
        </w:trPr>
        <w:tc>
          <w:tcPr>
            <w:tcW w:w="6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260" w:type="dxa"/>
            <w:vAlign w:val="bottom"/>
            <w:gridSpan w:val="2"/>
          </w:tcPr>
          <w:p>
            <w:pPr>
              <w:jc w:val="right"/>
              <w:ind w:right="734"/>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c>
          <w:tcPr>
            <w:tcW w:w="380" w:type="dxa"/>
            <w:vAlign w:val="bottom"/>
          </w:tcPr>
          <w:p>
            <w:pPr>
              <w:spacing w:after="0"/>
              <w:rPr>
                <w:sz w:val="11"/>
                <w:szCs w:val="11"/>
                <w:color w:val="auto"/>
              </w:rPr>
            </w:pPr>
          </w:p>
        </w:tc>
      </w:tr>
      <w:tr>
        <w:trPr>
          <w:trHeight w:val="180"/>
        </w:trPr>
        <w:tc>
          <w:tcPr>
            <w:tcW w:w="6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Compensation cost</w:t>
            </w:r>
          </w:p>
        </w:tc>
        <w:tc>
          <w:tcPr>
            <w:tcW w:w="920" w:type="dxa"/>
            <w:vAlign w:val="bottom"/>
            <w:shd w:val="clear" w:color="auto" w:fill="CCEEFF"/>
          </w:tcPr>
          <w:p>
            <w:pPr>
              <w:jc w:val="right"/>
              <w:ind w:right="770"/>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39.3</w:t>
            </w:r>
          </w:p>
        </w:tc>
        <w:tc>
          <w:tcPr>
            <w:tcW w:w="1260" w:type="dxa"/>
            <w:vAlign w:val="bottom"/>
            <w:gridSpan w:val="2"/>
            <w:shd w:val="clear" w:color="auto" w:fill="CCEEFF"/>
          </w:tcPr>
          <w:p>
            <w:pPr>
              <w:jc w:val="right"/>
              <w:ind w:right="8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r>
      <w:tr>
        <w:trPr>
          <w:trHeight w:val="180"/>
        </w:trPr>
        <w:tc>
          <w:tcPr>
            <w:tcW w:w="6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Related income tax benefit</w:t>
            </w:r>
          </w:p>
        </w:tc>
        <w:tc>
          <w:tcPr>
            <w:tcW w:w="92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r>
      <w:tr>
        <w:trPr>
          <w:trHeight w:val="180"/>
        </w:trPr>
        <w:tc>
          <w:tcPr>
            <w:tcW w:w="6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Capitalized as part of an asset</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Nonqualified Stock Options</w:t>
      </w:r>
    </w:p>
    <w:p>
      <w:pPr>
        <w:spacing w:after="0" w:line="190" w:lineRule="exact"/>
        <w:rPr>
          <w:sz w:val="20"/>
          <w:szCs w:val="20"/>
          <w:color w:val="auto"/>
        </w:rPr>
      </w:pPr>
    </w:p>
    <w:p>
      <w:pPr>
        <w:ind w:right="220" w:firstLine="576"/>
        <w:spacing w:after="0" w:line="259" w:lineRule="auto"/>
        <w:rPr>
          <w:sz w:val="20"/>
          <w:szCs w:val="20"/>
          <w:color w:val="auto"/>
        </w:rPr>
      </w:pPr>
      <w:r>
        <w:rPr>
          <w:rFonts w:ascii="Times New Roman" w:cs="Times New Roman" w:eastAsia="Times New Roman" w:hAnsi="Times New Roman"/>
          <w:sz w:val="16"/>
          <w:szCs w:val="16"/>
          <w:color w:val="auto"/>
        </w:rPr>
        <w:t>No nonqualified stock options were granted to employees during both the three months ended March 31, 2025 and 2024. All outstanding nonqualified stock options are vested and have been fully expensed.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Share Awards</w:t>
      </w:r>
    </w:p>
    <w:p>
      <w:pPr>
        <w:spacing w:after="0" w:line="190"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Performance share awards were granted to certain employees under the 2021 Stock Incentive Plan. Total performance share awards granted were 0.3 million for the three months ended March 31, 2025. The performance share awards granted represent initial target awards and do not reflect potential increases or decreases resulting from the final performance results to be determined at the end of the performance period. The performance share awards include a relative total shareholder return modifier under which the number of shares ultimately awarded is also impacted by our actual shareholder return relative to our S&amp;P 500 Financial Sector Index peer group. The actual number of common shares to be awarded at the end of each performance period will range between 0% and 180% of the initial target awards. The fair value of performance share awards is determined using a Monte Carlo simulation model. The weighted-average grant date fair value of these performance share awards granted was $90.41 per common share.</w:t>
      </w:r>
    </w:p>
    <w:p>
      <w:pPr>
        <w:spacing w:after="0" w:line="173" w:lineRule="exact"/>
        <w:rPr>
          <w:sz w:val="20"/>
          <w:szCs w:val="20"/>
          <w:color w:val="auto"/>
        </w:rPr>
      </w:pPr>
    </w:p>
    <w:p>
      <w:pPr>
        <w:ind w:right="460" w:firstLine="576"/>
        <w:spacing w:after="0" w:line="259" w:lineRule="auto"/>
        <w:rPr>
          <w:sz w:val="20"/>
          <w:szCs w:val="20"/>
          <w:color w:val="auto"/>
        </w:rPr>
      </w:pPr>
      <w:r>
        <w:rPr>
          <w:rFonts w:ascii="Times New Roman" w:cs="Times New Roman" w:eastAsia="Times New Roman" w:hAnsi="Times New Roman"/>
          <w:sz w:val="16"/>
          <w:szCs w:val="16"/>
          <w:color w:val="auto"/>
        </w:rPr>
        <w:t>As of March 31, 2025, we had $37.9 million of total unrecognized compensation cost related to nonvested performance share awards granted. The cost is expected to be recognized over a weighted-average service period of approximately 1.7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90" w:lineRule="exact"/>
        <w:rPr>
          <w:sz w:val="20"/>
          <w:szCs w:val="20"/>
          <w:color w:val="auto"/>
        </w:rPr>
      </w:pPr>
    </w:p>
    <w:p>
      <w:pPr>
        <w:ind w:right="220" w:firstLine="576"/>
        <w:spacing w:after="0" w:line="243" w:lineRule="auto"/>
        <w:rPr>
          <w:sz w:val="20"/>
          <w:szCs w:val="20"/>
          <w:color w:val="auto"/>
        </w:rPr>
      </w:pPr>
      <w:r>
        <w:rPr>
          <w:rFonts w:ascii="Times New Roman" w:cs="Times New Roman" w:eastAsia="Times New Roman" w:hAnsi="Times New Roman"/>
          <w:sz w:val="16"/>
          <w:szCs w:val="16"/>
          <w:color w:val="auto"/>
        </w:rPr>
        <w:t>Restricted stock units were issued to certain employees and non- employee directors pursuant to the 2021 Stock Incentive Plan. Total restricted stock units granted were 1.0 million for the three months ended March 31, 2025. The fair value of restricted stock units is determined based on the closing stock price of our common shares on the grant date. The weighted-average grant date fair value of these restricted stock units granted was $85.10 per common share.</w:t>
      </w:r>
    </w:p>
    <w:p>
      <w:pPr>
        <w:spacing w:after="0" w:line="167" w:lineRule="exact"/>
        <w:rPr>
          <w:sz w:val="20"/>
          <w:szCs w:val="20"/>
          <w:color w:val="auto"/>
        </w:rPr>
      </w:pPr>
    </w:p>
    <w:p>
      <w:pPr>
        <w:ind w:right="300" w:firstLine="576"/>
        <w:spacing w:after="0" w:line="259" w:lineRule="auto"/>
        <w:rPr>
          <w:sz w:val="20"/>
          <w:szCs w:val="20"/>
          <w:color w:val="auto"/>
        </w:rPr>
      </w:pPr>
      <w:r>
        <w:rPr>
          <w:rFonts w:ascii="Times New Roman" w:cs="Times New Roman" w:eastAsia="Times New Roman" w:hAnsi="Times New Roman"/>
          <w:sz w:val="16"/>
          <w:szCs w:val="16"/>
          <w:color w:val="auto"/>
        </w:rPr>
        <w:t>As of March 31, 2025, we had $119.5 million of total unrecognized compensation cost related to nonvested restricted stock unit awards granted. The cost is expected to be recognized over a weighted-average period of approximately 1.9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90" w:lineRule="exact"/>
        <w:rPr>
          <w:sz w:val="20"/>
          <w:szCs w:val="20"/>
          <w:color w:val="auto"/>
        </w:rPr>
      </w:pPr>
    </w:p>
    <w:p>
      <w:pPr>
        <w:ind w:right="540" w:firstLine="576"/>
        <w:spacing w:after="0" w:line="259" w:lineRule="auto"/>
        <w:rPr>
          <w:sz w:val="20"/>
          <w:szCs w:val="20"/>
          <w:color w:val="auto"/>
        </w:rPr>
      </w:pPr>
      <w:r>
        <w:rPr>
          <w:rFonts w:ascii="Times New Roman" w:cs="Times New Roman" w:eastAsia="Times New Roman" w:hAnsi="Times New Roman"/>
          <w:sz w:val="16"/>
          <w:szCs w:val="16"/>
          <w:color w:val="auto"/>
        </w:rPr>
        <w:t>Under the Employee Stock Purchase Plan, employees purchased 0.2 million shares for the three months ended March 31, 2025. The weighted average fair value of the discount on the stock purchased was $8.44 per share.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March 31, 2025, a total of 2.4 million of new shares were available to be made issuable by us for this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8" w:name="page109"/>
    <w:bookmarkEnd w:id="10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Earnings Per Common Share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computations of the basic and diluted per share amounts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840" w:type="dxa"/>
            <w:vAlign w:val="bottom"/>
            <w:tcBorders>
              <w:bottom w:val="single" w:sz="8" w:color="auto"/>
            </w:tcBorders>
          </w:tcPr>
          <w:p>
            <w:pPr>
              <w:ind w:left="52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ind w:right="6"/>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460" w:type="dxa"/>
            <w:vAlign w:val="bottom"/>
          </w:tcPr>
          <w:p>
            <w:pPr>
              <w:spacing w:after="0"/>
              <w:rPr>
                <w:sz w:val="11"/>
                <w:szCs w:val="11"/>
                <w:color w:val="auto"/>
              </w:rPr>
            </w:pPr>
          </w:p>
        </w:tc>
        <w:tc>
          <w:tcPr>
            <w:tcW w:w="2420" w:type="dxa"/>
            <w:vAlign w:val="bottom"/>
            <w:gridSpan w:val="4"/>
          </w:tcPr>
          <w:p>
            <w:pPr>
              <w:ind w:left="52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 except per share data)</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jc w:val="right"/>
              <w:ind w:right="687"/>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62.9</w:t>
            </w:r>
          </w:p>
        </w:tc>
        <w:tc>
          <w:tcPr>
            <w:tcW w:w="1120" w:type="dxa"/>
            <w:vAlign w:val="bottom"/>
            <w:gridSpan w:val="2"/>
            <w:shd w:val="clear" w:color="auto" w:fill="CCEEFF"/>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180"/>
        </w:trPr>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Subtract:</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8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2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64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ind w:right="687"/>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48.1</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706"/>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532.5</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Weighted-average shares outstanding:</w:t>
            </w: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225.7</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Dilutive effects: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0.7</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Restricted stock units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Performance share awards</w:t>
            </w: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72"/>
        </w:trPr>
        <w:tc>
          <w:tcPr>
            <w:tcW w:w="646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Diluted</w:t>
            </w:r>
          </w:p>
        </w:tc>
        <w:tc>
          <w:tcPr>
            <w:tcW w:w="8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228.8</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840" w:type="dxa"/>
            <w:vAlign w:val="bottom"/>
            <w:shd w:val="clear" w:color="auto" w:fill="CCEEFF"/>
          </w:tcPr>
          <w:p>
            <w:pPr>
              <w:jc w:val="right"/>
              <w:ind w:right="687"/>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0.21</w:t>
            </w:r>
          </w:p>
        </w:tc>
        <w:tc>
          <w:tcPr>
            <w:tcW w:w="1120" w:type="dxa"/>
            <w:vAlign w:val="bottom"/>
            <w:gridSpan w:val="2"/>
            <w:shd w:val="clear" w:color="auto" w:fill="CCEEFF"/>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840" w:type="dxa"/>
            <w:vAlign w:val="bottom"/>
            <w:tcBorders>
              <w:bottom w:val="single" w:sz="8" w:color="auto"/>
            </w:tcBorders>
          </w:tcPr>
          <w:p>
            <w:pPr>
              <w:jc w:val="right"/>
              <w:ind w:right="687"/>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0.21</w:t>
            </w:r>
          </w:p>
        </w:tc>
        <w:tc>
          <w:tcPr>
            <w:tcW w:w="260" w:type="dxa"/>
            <w:vAlign w:val="bottom"/>
            <w:vMerge w:val="continue"/>
          </w:tcPr>
          <w:p>
            <w:pPr>
              <w:spacing w:after="0"/>
              <w:rPr>
                <w:sz w:val="13"/>
                <w:szCs w:val="13"/>
                <w:color w:val="auto"/>
              </w:rPr>
            </w:pPr>
          </w:p>
        </w:tc>
        <w:tc>
          <w:tcPr>
            <w:tcW w:w="860" w:type="dxa"/>
            <w:vAlign w:val="bottom"/>
            <w:tcBorders>
              <w:bottom w:val="single" w:sz="8" w:color="auto"/>
            </w:tcBorders>
          </w:tcPr>
          <w:p>
            <w:pPr>
              <w:jc w:val="right"/>
              <w:ind w:right="706"/>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576"/>
        <w:spacing w:after="0" w:line="299" w:lineRule="auto"/>
        <w:rPr>
          <w:sz w:val="20"/>
          <w:szCs w:val="20"/>
          <w:color w:val="auto"/>
        </w:rPr>
      </w:pPr>
      <w:r>
        <w:rPr>
          <w:rFonts w:ascii="Times New Roman" w:cs="Times New Roman" w:eastAsia="Times New Roman" w:hAnsi="Times New Roman"/>
          <w:sz w:val="14"/>
          <w:szCs w:val="14"/>
          <w:color w:val="auto"/>
        </w:rPr>
        <w:t>The calculation of diluted earnings per share for the three months ended March 31, 2025 and 2024, excludes the incremental effects related to certain outstanding stock -based compensation grants due to their anti- dilutive effect. When a net loss is reported, our basic weighted -average shares are used to calculate diluted earnings per share, as dilutive shares would have an antidilutive effect and result in a lower loss per share.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09" w:name="page110"/>
    <w:bookmarkEnd w:id="10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90" w:lineRule="exact"/>
        <w:rPr>
          <w:sz w:val="20"/>
          <w:szCs w:val="20"/>
          <w:color w:val="auto"/>
        </w:rPr>
      </w:pPr>
    </w:p>
    <w:p>
      <w:pPr>
        <w:jc w:val="both"/>
        <w:ind w:right="220" w:firstLine="576"/>
        <w:spacing w:after="0" w:line="277" w:lineRule="auto"/>
        <w:rPr>
          <w:sz w:val="20"/>
          <w:szCs w:val="20"/>
          <w:color w:val="auto"/>
        </w:rPr>
      </w:pPr>
      <w:r>
        <w:rPr>
          <w:rFonts w:ascii="Times New Roman" w:cs="Times New Roman" w:eastAsia="Times New Roman" w:hAnsi="Times New Roman"/>
          <w:sz w:val="14"/>
          <w:szCs w:val="14"/>
          <w:color w:val="auto"/>
        </w:rPr>
        <w:t>The following analysis discusses our financial condition as of March 31, 2025, compared with December 31, 2024, and our consolidated results of operations for the three months ended March 31, 2025 and 2024, prepared in conformity with U.S. GAAP. The discussion and analysis includes, where appropriate, factors that may affect our future financial performance. The discussion should be read in conjunction with our Form</w:t>
      </w:r>
    </w:p>
    <w:p>
      <w:pPr>
        <w:spacing w:after="0" w:line="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10 -K, for the year ended December 31, 2024, filed with the SEC and the unaudited condensed consolidated financial statements and the related notes to the financial statements and the other financial information included elsewhere in this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190"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Our narrative analysis below contains forward-looking statements intended to enhance the reader’s ability to assess our future financial performance. Forward-looking statements include, but are not limited to, statements that represent our beliefs concerning future operations, strategies, financial results or other developments, and contain words and phrases such as “anticipate,” “believe,” “plan,” “estimate,” “expect,” “intend” and similar expressions. Forward-looking statements are made based upon management’s current expectations and beliefs concerning future developments and their potential effects on us. Such forward-looking statements are not guarantees of future performance.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110" w:name="page111"/>
    <w:bookmarkEnd w:id="11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firstLine="576"/>
        <w:spacing w:after="0" w:line="270" w:lineRule="auto"/>
        <w:rPr>
          <w:sz w:val="20"/>
          <w:szCs w:val="20"/>
          <w:color w:val="auto"/>
        </w:rPr>
      </w:pPr>
      <w:r>
        <w:rPr>
          <w:rFonts w:ascii="Times New Roman" w:cs="Times New Roman" w:eastAsia="Times New Roman" w:hAnsi="Times New Roman"/>
          <w:sz w:val="14"/>
          <w:szCs w:val="14"/>
          <w:color w:val="auto"/>
        </w:rPr>
        <w:t>Actual results may differ materially from those included in the forward- looking statements as a result of risks and uncertainties including, but not limited to, the following: (1) adverse capital and credit market conditions may significantly affect our ability to meet liquidity needs, as well as our access to capital and cost of capital; (2) conditions in the global capital markets, including the equity, bond or real estate markets, and the economy generally may materially and adversely affect our business and results of operations; (3) changes in interest rates or credit spreads or a prolonged low interest rate environment may adversely affect our results of operations, financial condition and liquidity, and our net income can vary from period to period; (4) our investment portfolio is subject to several risks that may diminish the value of our invested assets and the investment returns credited to customers, which could reduce our sales, revenues, AUM and net income; (5) our valuation of investments and the determinations of the amount of allowances and impairments taken on our investments may include methodologies, estimations and assumptions that are subject to differing interpretations and, if changed, could materially adversely affect our results of operations or financial condition; (6) any impairments of or valuation allowances against our deferred tax assets could adversely affect our results of operations and financial condition; (7) we may face losses on our insurance and annuity products if our actual experience differs significantly from our pricing and reserving assumptions; (8) the pattern of amortizing our DAC asset and other actuarial balances may change, impacting both the level of our DAC asset and other actuarial balances and the timing of our net income; (9) changes in laws or regulations may reduce our profitability or impact how we do business; (10) our ability to pay stockholder dividends, make share repurchases and meet our obligations may be constrained by the limitations on dividends or other distributions Iowa insurance laws impose on Principal Life; (11) changes in accounting standards may adversely affect our reported results of operations and financial condition; (12) litigation and regulatory investigations may affect our financial strength or reduce our profitability; (13) from time to time, we may become subject to tax audits, tax litigation or similar proceedings, and as a result we may owe additional taxes, interest and penalties in amounts that may be material; (14) applicable laws and our certificate of incorporation and by-laws may discourage takeovers and business combinations that some stockholders might consider in their best interests; (15) competition, including from companies that may have greater financial resources, broader arrays of products, higher ratings and stronger financial performance, may impair our ability to retain existing customers, attract new customers and maintain our profitability; (16) a downgrade in our financial strength or credit ratings may increase policy surrenders and withdrawals, reduce new sales, terminate relationships with distributors, impact existing liabilities and increase our cost of capital, any of which could adversely affect our profitability and financial condition; (17) client terminations or withdrawals or changes in investor preferences may lead to a reduction in revenues for our asset management and accumulation businesses; (18) guarantees within certain of our products that protect policyholders may decrease our net income or increase the volatility of our results of operations or financial position under U.S. GAAP if our hedging or risk management strategies prove ineffective or insufficient; (19) our international businesses face political, legal, operational and other risks that could reduce our profitability in those businesses; (20) we face risks arising from fraudulent activities; (21) we face risks arising from our participation in joint ventures; (22) we may need to fund deficiencies in our Closed Block assets; (23) our reinsurers could default on their obligations or increase their rates, which could adversely impact our net income and financial condition; (24) we face risks arising from future acquisitions of businesses; (25) we face risks in administering coinsurance with funds withheld reinsurance agreements; (26) a pandemic, terrorist attack, military action or other catastrophic event could adversely affect our operations, net income or financial condition; (27) our financial results may be adversely impacted by global climate changes; (28) technological and societal changes may disrupt our business model and impair our ability to retain existing customers, attract new customers and maintain our profitability; (29) damage to our reputation may adversely affect our revenues and profitability; (30) we may not be able to protect our intellectual property and may be subject to infringement claims; (31) if we are unable to attract, develop and retain qualified employees and sales representatives and develop new distribution sources, our results of operations, financial condition, strategic growth commitments and sales of our products may be adversely impacted; (32) interruptions in information technology, infrastructure or other internal or external systems used for our business operations, or a failure to maintain the confidentiality, integrity or availability of data residing on such systems, could disrupt our business, damage our reputation and adversely impact our profitability; (33) loss of or disruption in key vendor relationships and services or failure of a vendor to protect information of our customers or employees could adversely affect our business or result in losses and (34) our enterprise risk management framework may not be fully effective in identifying or mitigating all the risks to which we are exposed.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111" w:name="page112"/>
    <w:bookmarkEnd w:id="11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provide financial products and services through the following reportable segments:</w:t>
      </w:r>
    </w:p>
    <w:p>
      <w:pPr>
        <w:spacing w:after="0" w:line="188" w:lineRule="exact"/>
        <w:rPr>
          <w:sz w:val="20"/>
          <w:szCs w:val="20"/>
          <w:color w:val="auto"/>
        </w:rPr>
      </w:pPr>
    </w:p>
    <w:p>
      <w:pPr>
        <w:ind w:left="860" w:right="120" w:hanging="286"/>
        <w:spacing w:after="0"/>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Retirement and Income Solutions provides retirement and related financial products and services primarily to businesses, their employees, and other individuals. This segment includes workplace savings and retirement solutions, banking, trust and custodial services, individual variable annuities, pension risk transfer, investment only and our exited retail fixed annuities business. We offer a comprehensive portfolio of products and services for retirement savings and retirement income:</w:t>
      </w:r>
    </w:p>
    <w:p>
      <w:pPr>
        <w:spacing w:after="0" w:line="2" w:lineRule="exact"/>
        <w:rPr>
          <w:rFonts w:ascii="Times New Roman" w:cs="Times New Roman" w:eastAsia="Times New Roman" w:hAnsi="Times New Roman"/>
          <w:sz w:val="16"/>
          <w:szCs w:val="16"/>
          <w:color w:val="auto"/>
        </w:rPr>
      </w:pPr>
    </w:p>
    <w:p>
      <w:pPr>
        <w:ind w:left="1440" w:right="200" w:hanging="289"/>
        <w:spacing w:after="0" w:line="234" w:lineRule="auto"/>
        <w:tabs>
          <w:tab w:leader="none" w:pos="144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businesses of all sizes, we offer products and services for defined contribution plans, including 401(k) and 403(b) plans, defined benefit pension plans, nonqualified executive benefit plans, employee stock ownership plan services and pension closeout services. For more basic retirement services, we offer SIMPLE IRAs and payroll deduction plans;</w:t>
      </w:r>
    </w:p>
    <w:p>
      <w:pPr>
        <w:spacing w:after="0" w:line="1" w:lineRule="exact"/>
        <w:rPr>
          <w:rFonts w:ascii="Times New Roman" w:cs="Times New Roman" w:eastAsia="Times New Roman" w:hAnsi="Times New Roman"/>
          <w:sz w:val="16"/>
          <w:szCs w:val="16"/>
          <w:color w:val="auto"/>
        </w:rPr>
      </w:pPr>
    </w:p>
    <w:p>
      <w:pPr>
        <w:ind w:left="1440" w:right="480" w:hanging="289"/>
        <w:spacing w:after="0" w:line="234" w:lineRule="auto"/>
        <w:tabs>
          <w:tab w:leader="none" w:pos="144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large institutional clients, we also offer investment only products, including investment only guaranteed investment contracts (“GICs”);</w:t>
      </w:r>
    </w:p>
    <w:p>
      <w:pPr>
        <w:spacing w:after="0" w:line="1" w:lineRule="exact"/>
        <w:rPr>
          <w:rFonts w:ascii="Times New Roman" w:cs="Times New Roman" w:eastAsia="Times New Roman" w:hAnsi="Times New Roman"/>
          <w:sz w:val="16"/>
          <w:szCs w:val="16"/>
          <w:color w:val="auto"/>
        </w:rPr>
      </w:pPr>
    </w:p>
    <w:p>
      <w:pPr>
        <w:ind w:left="1440" w:hanging="289"/>
        <w:spacing w:after="0" w:line="268" w:lineRule="auto"/>
        <w:tabs>
          <w:tab w:leader="none" w:pos="144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employees of businesses and other individuals, we offer the ability to accumulate savings for retirement and other purposes through mutual funds, individual variable annuities, RILAs and bank products, along with retirement income options; and</w:t>
      </w:r>
    </w:p>
    <w:p>
      <w:pPr>
        <w:ind w:left="1440" w:hanging="289"/>
        <w:spacing w:after="0" w:line="234" w:lineRule="auto"/>
        <w:tabs>
          <w:tab w:leader="none" w:pos="144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offer trust and custody services.</w:t>
      </w:r>
    </w:p>
    <w:p>
      <w:pPr>
        <w:ind w:left="860" w:right="80" w:hanging="286"/>
        <w:spacing w:after="0" w:line="234" w:lineRule="auto"/>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Asset Management provides global investment solutions to institutional, retirement, retail and high net worth investors in the U.S. and select emerging markets. The segment is organized into Investment Management, which provides public, multi-asset and private market capabilities across all asset classes, including equity, fixed income, real estate and alternatives, to service a breadth of client investment objectives; and International Pension, which provides long-term savings and retirement solutions through pension accumulation and income annuities in Asia and Latin America.</w:t>
      </w:r>
    </w:p>
    <w:p>
      <w:pPr>
        <w:spacing w:after="0" w:line="3" w:lineRule="exact"/>
        <w:rPr>
          <w:rFonts w:ascii="Times New Roman" w:cs="Times New Roman" w:eastAsia="Times New Roman" w:hAnsi="Times New Roman"/>
          <w:sz w:val="16"/>
          <w:szCs w:val="16"/>
          <w:color w:val="auto"/>
        </w:rPr>
      </w:pPr>
    </w:p>
    <w:p>
      <w:pPr>
        <w:ind w:left="860" w:right="60" w:hanging="286"/>
        <w:spacing w:after="0" w:line="234" w:lineRule="auto"/>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and Protection is organized into Specialty Benefits, which provides group dental, group life insurance, group disability insurance (including short-term disability, long-term disability and paid family and medical leave), supplemental health products (including vision, critical illness, accident and hospital indemnity) and individual disability insurance; and Life Insurance, which provides life insurance focused on the business market customer, including universal life and variable universal life (including indexed universal life) and traditional life insurance (including term life insurance). All remaining customers are part of the legacy life block of business, including universal and variable universal life insurance (including indexed universal life), traditional life insurance (including participating whole life, adjustable life products and term life insurance) and our exited ULSG business.</w:t>
      </w:r>
    </w:p>
    <w:p>
      <w:pPr>
        <w:spacing w:after="0" w:line="4" w:lineRule="exact"/>
        <w:rPr>
          <w:rFonts w:ascii="Times New Roman" w:cs="Times New Roman" w:eastAsia="Times New Roman" w:hAnsi="Times New Roman"/>
          <w:sz w:val="16"/>
          <w:szCs w:val="16"/>
          <w:color w:val="auto"/>
        </w:rPr>
      </w:pPr>
    </w:p>
    <w:p>
      <w:pPr>
        <w:ind w:left="860" w:right="180" w:hanging="286"/>
        <w:spacing w:after="0" w:line="236" w:lineRule="auto"/>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which manages the assets representing capital that has not been allocated to any other segment. Financial results of the Corporate segment primarily reflect our financing activities (including financing costs), income on capital not allocated to other segments, inter-segment eliminations, income tax risks and certain income, expenses and other adjustments not allocated to the segments based on the nature of such items. Results of PSI, our retail broker-dealer and RIA, and our exited group medical and long-term care insurance businesses are reported in this segment.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Affecting Comparability of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Mandatory Provident Funds</w:t>
      </w:r>
    </w:p>
    <w:p>
      <w:pPr>
        <w:spacing w:after="0" w:line="192"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On January 16, 2025, we announced the signing of an agreement with BCT to expand our investment management capabilities and exit our sponsor and trustee (pension) roles in Hong Kong for MPF Schemes. BCT will be assuming the role as sponsor and trustee for the Principal MPF Schemes. The transaction is expected to close during the first quarter of 2026, subject to regulatory approval; however, certain transaction impacts were recognized in first quarter 2025. We impaired our distribution agreement intangible asset and contract cost asset, resulting in a $65.4 million loss reported in operating expenses on our consolidated statements of operations. Additionally, we classified our customer relationship intangible asset as held-for-sale, resulting in a $77.0 million loss reported in net realized capital gains (losses) on our consolidated statements of operations. For segment reporting, the impairments are reflected in loss from exited business and the held-for-sale write-down is reflected in net realized capital losses. As such, they had no impact on our Principal Asset Management segment pre-tax operating earnings.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12" w:name="page113"/>
    <w:bookmarkEnd w:id="11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Factors Affecting Comparability of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Foreign Currency to U.S. Dollar Exchange Rates</w:t>
      </w:r>
    </w:p>
    <w:p>
      <w:pPr>
        <w:spacing w:after="0" w:line="192" w:lineRule="exact"/>
        <w:rPr>
          <w:sz w:val="20"/>
          <w:szCs w:val="20"/>
          <w:color w:val="auto"/>
        </w:rPr>
      </w:pPr>
    </w:p>
    <w:p>
      <w:pPr>
        <w:ind w:firstLine="576"/>
        <w:spacing w:after="0" w:line="299" w:lineRule="auto"/>
        <w:rPr>
          <w:sz w:val="20"/>
          <w:szCs w:val="20"/>
          <w:color w:val="auto"/>
        </w:rPr>
      </w:pPr>
      <w:r>
        <w:rPr>
          <w:rFonts w:ascii="Times New Roman" w:cs="Times New Roman" w:eastAsia="Times New Roman" w:hAnsi="Times New Roman"/>
          <w:sz w:val="14"/>
          <w:szCs w:val="14"/>
          <w:color w:val="auto"/>
        </w:rPr>
        <w:t>Fluctuations in foreign currency to U.S. dollar exchange rates for locations in which we have operations can affect reported financial results. In years when foreign currencies weaken against the U.S. dollar, translating foreign currencies into U.S. dollars results in fewer U.S. dollars to be reported. When foreign currencies strengthen, translating foreign currencies into U.S. dollars results in more U.S. dollars to be reported.</w:t>
      </w:r>
    </w:p>
    <w:p>
      <w:pPr>
        <w:spacing w:after="0" w:line="131"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Foreign currency exchange rate fluctuations create variances in our financial statement line items. The most significant impact occurs within our Principal Asset Management segment where pre-tax operating earnings were negatively impacted $6.0 million for the three months ended March 31, 2025, as a result of fluctuations in foreign currency to U.S. dollar exchange rates. This impact was calculated by comparing (a) the difference between current year results and prior year results to (b) the difference between current year results and prior year results translated using current year exchange rates for both periods. We use this approach to calculate the impact of exchange rates on all revenue and expense line items. For a discussion of our approaches to managing foreign currency exchange rate risk, see Item 3. “Quantitative and Qualitative Disclosures About Market Risk — Foreign Currency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Investment Income</w:t>
      </w:r>
    </w:p>
    <w:p>
      <w:pPr>
        <w:spacing w:after="0" w:line="192"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Variable investment income includes certain types of investment returns such as prepayment fees and income (loss) from certain elements of our other alternative asset classes, including results of value -add real estate sales activity. Due to its unpredictable nature, variable investment income may or may not be material to our financial results for a given reporting period and may create variances when comparing different reporting periods. For additional information, see “Investment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Changes</w:t>
      </w:r>
    </w:p>
    <w:p>
      <w:pPr>
        <w:spacing w:after="0" w:line="190" w:lineRule="exact"/>
        <w:rPr>
          <w:sz w:val="20"/>
          <w:szCs w:val="20"/>
          <w:color w:val="auto"/>
        </w:rPr>
      </w:pPr>
    </w:p>
    <w:p>
      <w:pPr>
        <w:ind w:right="420" w:firstLine="576"/>
        <w:spacing w:after="0" w:line="259" w:lineRule="auto"/>
        <w:rPr>
          <w:sz w:val="20"/>
          <w:szCs w:val="20"/>
          <w:color w:val="auto"/>
        </w:rPr>
      </w:pPr>
      <w:r>
        <w:rPr>
          <w:rFonts w:ascii="Times New Roman" w:cs="Times New Roman" w:eastAsia="Times New Roman" w:hAnsi="Times New Roman"/>
          <w:sz w:val="16"/>
          <w:szCs w:val="16"/>
          <w:color w:val="auto"/>
        </w:rPr>
        <w:t>For recent accounting changes, see Item 1. “Financial Statements, Notes to Unaudited Condensed Consolidated Financial Statements, Note 1, Nature of Operations and Significant Accounting Policies” under the caption “Recent Accounting Pronouncements.”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13" w:name="page114"/>
    <w:bookmarkEnd w:id="11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summary consolidated financial information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5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203"/>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1"/>
                <w:szCs w:val="11"/>
                <w:color w:val="auto"/>
              </w:rPr>
            </w:pPr>
          </w:p>
        </w:tc>
      </w:tr>
      <w:tr>
        <w:trPr>
          <w:trHeight w:val="170"/>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(decrease)</w:t>
            </w:r>
          </w:p>
        </w:tc>
      </w:tr>
      <w:tr>
        <w:trPr>
          <w:trHeight w:val="136"/>
        </w:trPr>
        <w:tc>
          <w:tcPr>
            <w:tcW w:w="54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63"/>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1,751.3</w:t>
            </w:r>
          </w:p>
        </w:tc>
        <w:tc>
          <w:tcPr>
            <w:tcW w:w="24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1,684.6</w:t>
            </w:r>
          </w:p>
        </w:tc>
        <w:tc>
          <w:tcPr>
            <w:tcW w:w="120" w:type="dxa"/>
            <w:vAlign w:val="bottom"/>
          </w:tcPr>
          <w:p>
            <w:pPr>
              <w:spacing w:after="0"/>
              <w:rPr>
                <w:sz w:val="15"/>
                <w:szCs w:val="15"/>
                <w:color w:val="auto"/>
              </w:rPr>
            </w:pPr>
          </w:p>
        </w:tc>
        <w:tc>
          <w:tcPr>
            <w:tcW w:w="38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66.7</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1,077.7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20" w:type="dxa"/>
            <w:vAlign w:val="bottom"/>
          </w:tcPr>
          <w:p>
            <w:pPr>
              <w:spacing w:after="0"/>
              <w:rPr>
                <w:sz w:val="15"/>
                <w:szCs w:val="15"/>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1,165.7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93.5</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realized capital losses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(117.1)</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(116.2)</w:t>
            </w:r>
          </w:p>
        </w:tc>
        <w:tc>
          <w:tcPr>
            <w:tcW w:w="20" w:type="dxa"/>
            <w:vAlign w:val="bottom"/>
          </w:tcPr>
          <w:p>
            <w:pPr>
              <w:spacing w:after="0"/>
              <w:rPr>
                <w:sz w:val="15"/>
                <w:szCs w:val="15"/>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realized capital gains on funds withheld assets</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 in fair value of funds withheld embedded derivative</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(209.7)</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(406.7)</w:t>
            </w:r>
          </w:p>
        </w:tc>
        <w:tc>
          <w:tcPr>
            <w:tcW w:w="20" w:type="dxa"/>
            <w:vAlign w:val="bottom"/>
          </w:tcPr>
          <w:p>
            <w:pPr>
              <w:spacing w:after="0"/>
              <w:rPr>
                <w:sz w:val="15"/>
                <w:szCs w:val="15"/>
                <w:color w:val="auto"/>
              </w:rPr>
            </w:pPr>
          </w:p>
        </w:tc>
      </w:tr>
      <w:tr>
        <w:trPr>
          <w:trHeight w:val="172"/>
        </w:trPr>
        <w:tc>
          <w:tcPr>
            <w:tcW w:w="54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3,695.9</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4,053.3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(357.4)</w:t>
            </w:r>
          </w:p>
        </w:tc>
        <w:tc>
          <w:tcPr>
            <w:tcW w:w="20" w:type="dxa"/>
            <w:vAlign w:val="bottom"/>
          </w:tcPr>
          <w:p>
            <w:pPr>
              <w:spacing w:after="0"/>
              <w:rPr>
                <w:sz w:val="14"/>
                <w:szCs w:val="14"/>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2,220.0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5"/>
                <w:szCs w:val="15"/>
                <w:color w:val="auto"/>
              </w:rPr>
            </w:pPr>
          </w:p>
        </w:tc>
      </w:tr>
      <w:tr>
        <w:trPr>
          <w:trHeight w:val="180"/>
        </w:trPr>
        <w:tc>
          <w:tcPr>
            <w:tcW w:w="5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 risk benefit remeasurement (gain) loss</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49.2</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Dividends to policyholders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r>
      <w:tr>
        <w:trPr>
          <w:trHeight w:val="180"/>
        </w:trPr>
        <w:tc>
          <w:tcPr>
            <w:tcW w:w="54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1,391.0</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1,343.4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47.6</w:t>
            </w:r>
          </w:p>
        </w:tc>
        <w:tc>
          <w:tcPr>
            <w:tcW w:w="20" w:type="dxa"/>
            <w:vAlign w:val="bottom"/>
          </w:tcPr>
          <w:p>
            <w:pPr>
              <w:spacing w:after="0"/>
              <w:rPr>
                <w:sz w:val="15"/>
                <w:szCs w:val="15"/>
                <w:color w:val="auto"/>
              </w:rPr>
            </w:pPr>
          </w:p>
        </w:tc>
      </w:tr>
      <w:tr>
        <w:trPr>
          <w:trHeight w:val="172"/>
        </w:trPr>
        <w:tc>
          <w:tcPr>
            <w:tcW w:w="544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expenses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3,667.0</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3,426.2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240.8</w:t>
            </w:r>
          </w:p>
        </w:tc>
        <w:tc>
          <w:tcPr>
            <w:tcW w:w="20" w:type="dxa"/>
            <w:vAlign w:val="bottom"/>
          </w:tcPr>
          <w:p>
            <w:pPr>
              <w:spacing w:after="0"/>
              <w:rPr>
                <w:sz w:val="14"/>
                <w:szCs w:val="14"/>
                <w:color w:val="auto"/>
              </w:rPr>
            </w:pP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(598.2)</w:t>
            </w:r>
          </w:p>
        </w:tc>
        <w:tc>
          <w:tcPr>
            <w:tcW w:w="20" w:type="dxa"/>
            <w:vAlign w:val="bottom"/>
          </w:tcPr>
          <w:p>
            <w:pPr>
              <w:spacing w:after="0"/>
              <w:rPr>
                <w:sz w:val="14"/>
                <w:szCs w:val="14"/>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taxes (benefits)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(34.0)</w:t>
            </w: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20" w:type="dxa"/>
            <w:vAlign w:val="bottom"/>
          </w:tcPr>
          <w:p>
            <w:pPr>
              <w:spacing w:after="0"/>
              <w:rPr>
                <w:sz w:val="15"/>
                <w:szCs w:val="15"/>
                <w:color w:val="auto"/>
              </w:rPr>
            </w:pP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62.9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532.0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(469.1)</w:t>
            </w:r>
          </w:p>
        </w:tc>
        <w:tc>
          <w:tcPr>
            <w:tcW w:w="20" w:type="dxa"/>
            <w:vAlign w:val="bottom"/>
          </w:tcPr>
          <w:p>
            <w:pPr>
              <w:spacing w:after="0"/>
              <w:rPr>
                <w:sz w:val="14"/>
                <w:szCs w:val="14"/>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20" w:type="dxa"/>
            <w:vAlign w:val="bottom"/>
          </w:tcPr>
          <w:p>
            <w:pPr>
              <w:spacing w:after="0"/>
              <w:rPr>
                <w:sz w:val="15"/>
                <w:szCs w:val="15"/>
                <w:color w:val="auto"/>
              </w:rPr>
            </w:pP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Principal Financial Group, Inc.</w:t>
            </w:r>
          </w:p>
        </w:tc>
        <w:tc>
          <w:tcPr>
            <w:tcW w:w="26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532.5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(484.4)</w:t>
            </w:r>
          </w:p>
        </w:tc>
        <w:tc>
          <w:tcPr>
            <w:tcW w:w="20" w:type="dxa"/>
            <w:vAlign w:val="bottom"/>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Net Income Attributable to Principal Financial Group, Inc.</w:t>
      </w:r>
    </w:p>
    <w:p>
      <w:pPr>
        <w:spacing w:after="0" w:line="190"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Net income (loss) attributable to Principal Financial Group, Inc. decreased $321.4 million due to the change in the fair value of the funds withheld embedded derivative and $119.7 million due to the impact from asset write-downs related to exiting our sponsor and trustee (pension) roles in Hong Kong for MPF Schemes.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Total Revenues</w:t>
      </w:r>
    </w:p>
    <w:p>
      <w:pPr>
        <w:spacing w:after="0" w:line="190" w:lineRule="exact"/>
        <w:rPr>
          <w:sz w:val="20"/>
          <w:szCs w:val="20"/>
          <w:color w:val="auto"/>
        </w:rPr>
      </w:pPr>
    </w:p>
    <w:p>
      <w:pPr>
        <w:ind w:firstLine="576"/>
        <w:spacing w:after="0" w:line="289" w:lineRule="auto"/>
        <w:rPr>
          <w:sz w:val="20"/>
          <w:szCs w:val="20"/>
          <w:color w:val="auto"/>
        </w:rPr>
      </w:pPr>
      <w:r>
        <w:rPr>
          <w:rFonts w:ascii="Times New Roman" w:cs="Times New Roman" w:eastAsia="Times New Roman" w:hAnsi="Times New Roman"/>
          <w:sz w:val="14"/>
          <w:szCs w:val="14"/>
          <w:color w:val="auto"/>
        </w:rPr>
        <w:t>Premiums and other considerations increased $44.7 million for the Retirement and Income Solutions segment primarily due to higher sales of single premium group annuities with life contingencies. The single premium group annuity product, which is typically used to fund defined benefit plan terminations, can generate large premiums from very few customers and therefore premiums tend to vary from period to period. Premiums and other considerations increased $22.3 million for the Benefits and Protection segment primarily from growth in our Specialty Benefits business.</w:t>
      </w:r>
    </w:p>
    <w:p>
      <w:pPr>
        <w:spacing w:after="0" w:line="137"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Fees and other revenues increased $15.5 million for the Principal Asset Management segment primarily due to higher management fee revenue as a result of increased average AUM managed by our Investment Management operations. Fees and other revenues increased $5.5 million for the Benefits and Protection segment primarily due to growth in our Life Insurance business.</w:t>
      </w:r>
    </w:p>
    <w:p>
      <w:pPr>
        <w:spacing w:after="0" w:line="164"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For net investment income and net realized capital gains (losses) variance information, see “Investments — Investment Results” under the captions “Net Investment Income” and “Net Realized Capital Gains (Losses),” respectively.</w:t>
      </w:r>
    </w:p>
    <w:p>
      <w:pPr>
        <w:spacing w:after="0" w:line="155" w:lineRule="exact"/>
        <w:rPr>
          <w:sz w:val="20"/>
          <w:szCs w:val="20"/>
          <w:color w:val="auto"/>
        </w:rPr>
      </w:pPr>
    </w:p>
    <w:p>
      <w:pPr>
        <w:jc w:val="both"/>
        <w:ind w:right="320" w:firstLine="576"/>
        <w:spacing w:after="0" w:line="247" w:lineRule="auto"/>
        <w:rPr>
          <w:sz w:val="20"/>
          <w:szCs w:val="20"/>
          <w:color w:val="auto"/>
        </w:rPr>
      </w:pPr>
      <w:r>
        <w:rPr>
          <w:rFonts w:ascii="Times New Roman" w:cs="Times New Roman" w:eastAsia="Times New Roman" w:hAnsi="Times New Roman"/>
          <w:sz w:val="16"/>
          <w:szCs w:val="16"/>
          <w:color w:val="auto"/>
        </w:rPr>
        <w:t>Net realized capital gains on funds withheld assets decreased due to $38.5 million lower net gains on sales of funds withheld assets as a result of reduced sales in 2025 by an external reinsurer partially offset by a $15.4 million increase due to net unrealized gains on funds withheld assets in 2025 as compared to net unrealized losses in 2024.</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14" w:name="page115"/>
    <w:bookmarkEnd w:id="114"/>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2" w:right="340" w:firstLine="576"/>
        <w:spacing w:after="0" w:line="259" w:lineRule="auto"/>
        <w:rPr>
          <w:sz w:val="20"/>
          <w:szCs w:val="20"/>
          <w:color w:val="auto"/>
        </w:rPr>
      </w:pPr>
      <w:r>
        <w:rPr>
          <w:rFonts w:ascii="Times New Roman" w:cs="Times New Roman" w:eastAsia="Times New Roman" w:hAnsi="Times New Roman"/>
          <w:sz w:val="16"/>
          <w:szCs w:val="16"/>
          <w:color w:val="auto"/>
        </w:rPr>
        <w:t>The change in the fair value of the funds withheld embedded derivative resulted in a loss in 2025 compared to a gain in 2024 driven by changes in interest rates.</w:t>
      </w:r>
    </w:p>
    <w:p>
      <w:pPr>
        <w:spacing w:after="0" w:line="15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Total Expenses</w:t>
      </w:r>
    </w:p>
    <w:p>
      <w:pPr>
        <w:spacing w:after="0" w:line="190" w:lineRule="exact"/>
        <w:rPr>
          <w:sz w:val="20"/>
          <w:szCs w:val="20"/>
          <w:color w:val="auto"/>
        </w:rPr>
      </w:pPr>
    </w:p>
    <w:p>
      <w:pPr>
        <w:ind w:left="2" w:right="160" w:firstLine="576"/>
        <w:spacing w:after="0" w:line="243" w:lineRule="auto"/>
        <w:rPr>
          <w:sz w:val="20"/>
          <w:szCs w:val="20"/>
          <w:color w:val="auto"/>
        </w:rPr>
      </w:pPr>
      <w:r>
        <w:rPr>
          <w:rFonts w:ascii="Times New Roman" w:cs="Times New Roman" w:eastAsia="Times New Roman" w:hAnsi="Times New Roman"/>
          <w:sz w:val="16"/>
          <w:szCs w:val="16"/>
          <w:color w:val="auto"/>
        </w:rPr>
        <w:t>Benefits, claims and settlement expenses increased $109.2 million for the Retirement and Income Solutions segment primarily due to an increase in reserves, largely stemming from higher sales of single premium group annuities with life contingencies. Benefits, claims and settlement expenses increased for the Benefits and Protection segment primarily due to an $18.3 million increase from growth in our Specialty Benefits business and a $13.9 million increase due to unfavorable claims experience in our Life Insurance business.</w:t>
      </w:r>
    </w:p>
    <w:p>
      <w:pPr>
        <w:spacing w:after="0" w:line="167" w:lineRule="exact"/>
        <w:rPr>
          <w:sz w:val="20"/>
          <w:szCs w:val="20"/>
          <w:color w:val="auto"/>
        </w:rPr>
      </w:pPr>
    </w:p>
    <w:p>
      <w:pPr>
        <w:ind w:left="2" w:right="100" w:firstLine="576"/>
        <w:spacing w:after="0" w:line="241" w:lineRule="auto"/>
        <w:rPr>
          <w:sz w:val="20"/>
          <w:szCs w:val="20"/>
          <w:color w:val="auto"/>
        </w:rPr>
      </w:pPr>
      <w:r>
        <w:rPr>
          <w:rFonts w:ascii="Times New Roman" w:cs="Times New Roman" w:eastAsia="Times New Roman" w:hAnsi="Times New Roman"/>
          <w:sz w:val="16"/>
          <w:szCs w:val="16"/>
          <w:color w:val="auto"/>
        </w:rPr>
        <w:t>The market risk benefit remeasurement (gain) loss change is primarily due to a $154.6 million unfavorable impact from the change in fair value of the MRB asset (liability), excluding impacts of nonperformance risk, primarily driven by changes in market movements. This change was partially offset by a $105.4 million favorable impact from periodic and final settlements for derivatives used to hedge MRBs. See Item 1. “Financial Statements, Notes to Unaudited Condensed Consolidated Financial Statements, Note 10, Market Risk Benefits” for further information on market effects.</w:t>
      </w:r>
    </w:p>
    <w:p>
      <w:pPr>
        <w:spacing w:after="0" w:line="169" w:lineRule="exact"/>
        <w:rPr>
          <w:sz w:val="20"/>
          <w:szCs w:val="20"/>
          <w:color w:val="auto"/>
        </w:rPr>
      </w:pPr>
    </w:p>
    <w:p>
      <w:pPr>
        <w:ind w:left="2" w:right="40" w:firstLine="576"/>
        <w:spacing w:after="0" w:line="243" w:lineRule="auto"/>
        <w:rPr>
          <w:sz w:val="20"/>
          <w:szCs w:val="20"/>
          <w:color w:val="auto"/>
        </w:rPr>
      </w:pPr>
      <w:r>
        <w:rPr>
          <w:rFonts w:ascii="Times New Roman" w:cs="Times New Roman" w:eastAsia="Times New Roman" w:hAnsi="Times New Roman"/>
          <w:sz w:val="16"/>
          <w:szCs w:val="16"/>
          <w:color w:val="auto"/>
        </w:rPr>
        <w:t>Operating expenses increased primarily due to $65.4 million of impairments of our distribution agreement intangible asset and contract cost asset in Hong Kong, a $ 34.2 million increase in compensation costs and an $18.3 million increase in nondeferrable commission expense. These increases were partially offset by a $65.6 million decrease in amounts credited to employee accounts in a nonqualified defined contribution pension plan.</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90" w:lineRule="exact"/>
        <w:rPr>
          <w:sz w:val="20"/>
          <w:szCs w:val="20"/>
          <w:color w:val="auto"/>
        </w:rPr>
      </w:pPr>
    </w:p>
    <w:p>
      <w:pPr>
        <w:ind w:left="2" w:right="80" w:firstLine="576"/>
        <w:spacing w:after="0" w:line="243" w:lineRule="auto"/>
        <w:rPr>
          <w:sz w:val="20"/>
          <w:szCs w:val="20"/>
          <w:color w:val="auto"/>
        </w:rPr>
      </w:pPr>
      <w:r>
        <w:rPr>
          <w:rFonts w:ascii="Times New Roman" w:cs="Times New Roman" w:eastAsia="Times New Roman" w:hAnsi="Times New Roman"/>
          <w:sz w:val="16"/>
          <w:szCs w:val="16"/>
          <w:color w:val="auto"/>
        </w:rPr>
        <w:t>The effective income tax rate of (118)% for the three months ended March 31, 2025, changed from 15% for the three months ended March 31, 2024, primarily due to a decrease in pre -tax income with no proportionate change in permanent tax differences. See Item 1. “Financial Statements, Notes to Unaudited Condensed Consolidated Financial Statements, Note 13, Income Taxes” for a reconciliation of the corporate income tax rate to the effective income tax rate.</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Results of Operations by Segment</w:t>
      </w:r>
    </w:p>
    <w:p>
      <w:pPr>
        <w:spacing w:after="0" w:line="190" w:lineRule="exact"/>
        <w:rPr>
          <w:sz w:val="20"/>
          <w:szCs w:val="20"/>
          <w:color w:val="auto"/>
        </w:rPr>
      </w:pPr>
    </w:p>
    <w:p>
      <w:pPr>
        <w:ind w:left="2" w:right="100" w:firstLine="576"/>
        <w:spacing w:after="0" w:line="259" w:lineRule="auto"/>
        <w:rPr>
          <w:sz w:val="20"/>
          <w:szCs w:val="20"/>
          <w:color w:val="auto"/>
        </w:rPr>
      </w:pPr>
      <w:r>
        <w:rPr>
          <w:rFonts w:ascii="Times New Roman" w:cs="Times New Roman" w:eastAsia="Times New Roman" w:hAnsi="Times New Roman"/>
          <w:sz w:val="16"/>
          <w:szCs w:val="16"/>
          <w:color w:val="auto"/>
        </w:rPr>
        <w:t>For results of operations by segment see Item 1. “Financial Statements, Notes to Unaudited Condensed Consolidated Financial Statements, Note 18, Segment Information.”</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Retirement and Income Solutions Segment</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Retirement and Income Solutions Segment Summary Financial Data</w:t>
      </w:r>
    </w:p>
    <w:p>
      <w:pPr>
        <w:spacing w:after="0" w:line="192" w:lineRule="exact"/>
        <w:rPr>
          <w:sz w:val="20"/>
          <w:szCs w:val="20"/>
          <w:color w:val="auto"/>
        </w:rPr>
      </w:pPr>
    </w:p>
    <w:p>
      <w:pPr>
        <w:ind w:left="2" w:firstLine="576"/>
        <w:spacing w:after="0" w:line="277" w:lineRule="auto"/>
        <w:rPr>
          <w:sz w:val="20"/>
          <w:szCs w:val="20"/>
          <w:color w:val="auto"/>
        </w:rPr>
      </w:pPr>
      <w:r>
        <w:rPr>
          <w:rFonts w:ascii="Times New Roman" w:cs="Times New Roman" w:eastAsia="Times New Roman" w:hAnsi="Times New Roman"/>
          <w:sz w:val="14"/>
          <w:szCs w:val="14"/>
          <w:color w:val="auto"/>
        </w:rPr>
        <w:t>Net revenue and average monthly account values are key metrics used to understand Retirement and Income Solutions earnings growth. Net revenue, which is used only at the segment level, is defined as operating revenues less benefits, claims and settlement expenses; liability for future policy benefits remeasurement (gain) loss; market risk benefit remeasurement (gain) loss and dividends to policyholders. Net revenue is impacted by:</w:t>
      </w:r>
    </w:p>
    <w:p>
      <w:pPr>
        <w:spacing w:after="0" w:line="1" w:lineRule="exact"/>
        <w:rPr>
          <w:sz w:val="20"/>
          <w:szCs w:val="20"/>
          <w:color w:val="auto"/>
        </w:rPr>
      </w:pPr>
    </w:p>
    <w:p>
      <w:pPr>
        <w:jc w:val="both"/>
        <w:ind w:left="2" w:right="20" w:hanging="2"/>
        <w:spacing w:after="0" w:line="236" w:lineRule="auto"/>
        <w:tabs>
          <w:tab w:leader="none" w:pos="22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equity markets and interest rates and (2) the difference between investment income earned on the underlying general account assets and the interest rate credited to the contracts. Average monthly account values include the net balances that customers have accumulated within their account, along with future policy benefits for retirement payout products. Average monthly account values are primarily impacted by net customer cash flows and credit market performance.</w:t>
      </w: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15" w:name="page116"/>
    <w:bookmarkEnd w:id="11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Retirement and Income Solutions segment net revenue and average monthly account values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34"/>
        </w:trPr>
        <w:tc>
          <w:tcPr>
            <w:tcW w:w="6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48"/>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0"/>
        </w:trPr>
        <w:tc>
          <w:tcPr>
            <w:tcW w:w="6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(decrease)</w:t>
            </w:r>
          </w:p>
        </w:tc>
      </w:tr>
      <w:tr>
        <w:trPr>
          <w:trHeight w:val="172"/>
        </w:trPr>
        <w:tc>
          <w:tcPr>
            <w:tcW w:w="62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revenue (in millions)</w:t>
            </w: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724.2</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691.4</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32.8</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6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6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Average monthly account values (in billions)</w:t>
            </w: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572.8</w:t>
            </w:r>
          </w:p>
        </w:tc>
        <w:tc>
          <w:tcPr>
            <w:tcW w:w="400" w:type="dxa"/>
            <w:vAlign w:val="bottom"/>
            <w:gridSpan w:val="2"/>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522.6</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8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certain summary financial data relating to the Retirement and Income Solutions segment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9"/>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34"/>
        </w:trPr>
        <w:tc>
          <w:tcPr>
            <w:tcW w:w="6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4"/>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1"/>
                <w:szCs w:val="11"/>
                <w:color w:val="auto"/>
              </w:rPr>
            </w:pPr>
          </w:p>
        </w:tc>
      </w:tr>
      <w:tr>
        <w:trPr>
          <w:trHeight w:val="170"/>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(decrease)</w:t>
            </w:r>
          </w:p>
        </w:tc>
      </w:tr>
      <w:tr>
        <w:trPr>
          <w:trHeight w:val="136"/>
        </w:trPr>
        <w:tc>
          <w:tcPr>
            <w:tcW w:w="6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6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810.3</w:t>
            </w:r>
          </w:p>
        </w:tc>
        <w:tc>
          <w:tcPr>
            <w:tcW w:w="1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765.6</w:t>
            </w:r>
          </w:p>
        </w:tc>
        <w:tc>
          <w:tcPr>
            <w:tcW w:w="2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44.7</w:t>
            </w:r>
          </w:p>
        </w:tc>
        <w:tc>
          <w:tcPr>
            <w:tcW w:w="20" w:type="dxa"/>
            <w:vAlign w:val="bottom"/>
          </w:tcPr>
          <w:p>
            <w:pPr>
              <w:spacing w:after="0"/>
              <w:rPr>
                <w:sz w:val="15"/>
                <w:szCs w:val="15"/>
                <w:color w:val="auto"/>
              </w:rPr>
            </w:pPr>
          </w:p>
        </w:tc>
      </w:tr>
      <w:tr>
        <w:trPr>
          <w:trHeight w:val="180"/>
        </w:trPr>
        <w:tc>
          <w:tcPr>
            <w:tcW w:w="6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5"/>
                <w:szCs w:val="15"/>
                <w:color w:val="auto"/>
              </w:rPr>
            </w:pPr>
          </w:p>
        </w:tc>
      </w:tr>
      <w:tr>
        <w:trPr>
          <w:trHeight w:val="180"/>
        </w:trPr>
        <w:tc>
          <w:tcPr>
            <w:tcW w:w="62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823.7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728.2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95.5</w:t>
            </w:r>
          </w:p>
        </w:tc>
        <w:tc>
          <w:tcPr>
            <w:tcW w:w="20" w:type="dxa"/>
            <w:vAlign w:val="bottom"/>
          </w:tcPr>
          <w:p>
            <w:pPr>
              <w:spacing w:after="0"/>
              <w:rPr>
                <w:sz w:val="15"/>
                <w:szCs w:val="15"/>
                <w:color w:val="auto"/>
              </w:rPr>
            </w:pPr>
          </w:p>
        </w:tc>
      </w:tr>
      <w:tr>
        <w:trPr>
          <w:trHeight w:val="172"/>
        </w:trPr>
        <w:tc>
          <w:tcPr>
            <w:tcW w:w="62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2,075.2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1,932.4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142.8</w:t>
            </w:r>
          </w:p>
        </w:tc>
        <w:tc>
          <w:tcPr>
            <w:tcW w:w="20" w:type="dxa"/>
            <w:vAlign w:val="bottom"/>
          </w:tcPr>
          <w:p>
            <w:pPr>
              <w:spacing w:after="0"/>
              <w:rPr>
                <w:sz w:val="14"/>
                <w:szCs w:val="14"/>
                <w:color w:val="auto"/>
              </w:rPr>
            </w:pPr>
          </w:p>
        </w:tc>
      </w:tr>
      <w:tr>
        <w:trPr>
          <w:trHeight w:val="180"/>
        </w:trPr>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 including dividends to policyholders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110.6</w:t>
            </w:r>
          </w:p>
        </w:tc>
        <w:tc>
          <w:tcPr>
            <w:tcW w:w="20" w:type="dxa"/>
            <w:vAlign w:val="bottom"/>
          </w:tcPr>
          <w:p>
            <w:pPr>
              <w:spacing w:after="0"/>
              <w:rPr>
                <w:sz w:val="15"/>
                <w:szCs w:val="15"/>
                <w:color w:val="auto"/>
              </w:rPr>
            </w:pPr>
          </w:p>
        </w:tc>
      </w:tr>
      <w:tr>
        <w:trPr>
          <w:trHeight w:val="180"/>
        </w:trPr>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w:t>
            </w:r>
          </w:p>
        </w:tc>
        <w:tc>
          <w:tcPr>
            <w:tcW w:w="20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r>
      <w:tr>
        <w:trPr>
          <w:trHeight w:val="180"/>
        </w:trPr>
        <w:tc>
          <w:tcPr>
            <w:tcW w:w="6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 risk benefit remeasurement loss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5"/>
                <w:szCs w:val="15"/>
                <w:color w:val="auto"/>
              </w:rPr>
            </w:pPr>
          </w:p>
        </w:tc>
      </w:tr>
      <w:tr>
        <w:trPr>
          <w:trHeight w:val="180"/>
        </w:trPr>
        <w:tc>
          <w:tcPr>
            <w:tcW w:w="62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429.2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5"/>
                <w:szCs w:val="15"/>
                <w:color w:val="auto"/>
              </w:rPr>
            </w:pPr>
          </w:p>
        </w:tc>
      </w:tr>
      <w:tr>
        <w:trPr>
          <w:trHeight w:val="172"/>
        </w:trPr>
        <w:tc>
          <w:tcPr>
            <w:tcW w:w="62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1,790.9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1,670.2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120.7</w:t>
            </w:r>
          </w:p>
        </w:tc>
        <w:tc>
          <w:tcPr>
            <w:tcW w:w="20" w:type="dxa"/>
            <w:vAlign w:val="bottom"/>
          </w:tcPr>
          <w:p>
            <w:pPr>
              <w:spacing w:after="0"/>
              <w:rPr>
                <w:sz w:val="14"/>
                <w:szCs w:val="14"/>
                <w:color w:val="auto"/>
              </w:rPr>
            </w:pPr>
          </w:p>
        </w:tc>
      </w:tr>
      <w:tr>
        <w:trPr>
          <w:trHeight w:val="180"/>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Pre-tax operating earnings attributable to noncontrolling interest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5"/>
                <w:szCs w:val="15"/>
                <w:color w:val="auto"/>
              </w:rPr>
            </w:pPr>
          </w:p>
        </w:tc>
      </w:tr>
      <w:tr>
        <w:trPr>
          <w:trHeight w:val="172"/>
        </w:trPr>
        <w:tc>
          <w:tcPr>
            <w:tcW w:w="62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Pre-tax operating earnings</w:t>
            </w:r>
          </w:p>
        </w:tc>
        <w:tc>
          <w:tcPr>
            <w:tcW w:w="200" w:type="dxa"/>
            <w:vAlign w:val="bottom"/>
            <w:tcBorders>
              <w:top w:val="single" w:sz="8" w:color="auto"/>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262.2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Pre-Tax Operating Earnings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Pre-tax operating earnings increased due to an increase in our net revenue partially offset by an increase in operating expenses as described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Net Revenue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Net revenue increased primarily due to growth in the business.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Operating expenses increased primarily due to an increase in staff-related costs.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16" w:name="page117"/>
    <w:bookmarkEnd w:id="11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Asset Management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AUM</w:t>
      </w:r>
    </w:p>
    <w:p>
      <w:pPr>
        <w:spacing w:after="0" w:line="192"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AUM forms the basis for generating our management fee revenues. However, in Chile, the Cuprum business operates differently, as most fees are collected with each deposit made by mandatory retirement customers, based on a capped salary level rather than asset levels. AUM growth is primarily driven by two factors: market performance and net cash flow. Market performance encompasses the returns from equity, fixed income, real estate and other alternative investments, while net cash flow reflects client deposits and withdrawals. Revenue growth increasingly depends on the fee levels associated with these deposits and withdrawals, which can vary significantly depending on the business or product mix. Additionally, our non-U.S. results are influenced by fluctuations in foreign currency exchange rates relative to the U.S. dollar. The AUM of our foreign subsidiaries is converted to U.S. dollars at the end of the reporting period using spot exchange rates, while revenue and expenses are translated using average exchange rates for the reporting period.</w:t>
      </w:r>
    </w:p>
    <w:p>
      <w:pPr>
        <w:spacing w:after="0" w:line="161" w:lineRule="exact"/>
        <w:rPr>
          <w:sz w:val="20"/>
          <w:szCs w:val="20"/>
          <w:color w:val="auto"/>
        </w:rPr>
      </w:pPr>
    </w:p>
    <w:p>
      <w:pPr>
        <w:ind w:right="60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AUM rollforward for assets managed by the Principal Asset Management segment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760" w:type="dxa"/>
            <w:vAlign w:val="bottom"/>
            <w:tcBorders>
              <w:bottom w:val="single" w:sz="8" w:color="auto"/>
            </w:tcBorders>
            <w:gridSpan w:val="6"/>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48"/>
        </w:trPr>
        <w:tc>
          <w:tcPr>
            <w:tcW w:w="23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36"/>
        </w:trPr>
        <w:tc>
          <w:tcPr>
            <w:tcW w:w="23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580" w:type="dxa"/>
            <w:vAlign w:val="bottom"/>
            <w:gridSpan w:val="3"/>
          </w:tcPr>
          <w:p>
            <w:pPr>
              <w:jc w:val="right"/>
              <w:ind w:right="82"/>
              <w:spacing w:after="0" w:line="136" w:lineRule="exact"/>
              <w:rPr>
                <w:sz w:val="20"/>
                <w:szCs w:val="20"/>
                <w:color w:val="auto"/>
              </w:rPr>
            </w:pPr>
            <w:r>
              <w:rPr>
                <w:rFonts w:ascii="Times New Roman" w:cs="Times New Roman" w:eastAsia="Times New Roman" w:hAnsi="Times New Roman"/>
                <w:sz w:val="13"/>
                <w:szCs w:val="13"/>
                <w:i w:val="1"/>
                <w:iCs w:val="1"/>
                <w:color w:val="auto"/>
                <w:w w:val="92"/>
              </w:rPr>
              <w:t>billions)</w:t>
            </w:r>
          </w:p>
        </w:tc>
        <w:tc>
          <w:tcPr>
            <w:tcW w:w="920" w:type="dxa"/>
            <w:vAlign w:val="bottom"/>
          </w:tcPr>
          <w:p>
            <w:pPr>
              <w:spacing w:after="0"/>
              <w:rPr>
                <w:sz w:val="11"/>
                <w:szCs w:val="11"/>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AUM, beginning of period</w:t>
            </w:r>
          </w:p>
        </w:tc>
        <w:tc>
          <w:tcPr>
            <w:tcW w:w="5060" w:type="dxa"/>
            <w:vAlign w:val="bottom"/>
            <w:gridSpan w:val="2"/>
            <w:shd w:val="clear" w:color="auto" w:fill="CCEEFF"/>
          </w:tcPr>
          <w:p>
            <w:pPr>
              <w:jc w:val="right"/>
              <w:ind w:right="65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683.4</w:t>
            </w: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668.3</w:t>
            </w:r>
          </w:p>
        </w:tc>
      </w:tr>
      <w:tr>
        <w:trPr>
          <w:trHeight w:val="180"/>
        </w:trPr>
        <w:tc>
          <w:tcPr>
            <w:tcW w:w="2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cash flow</w:t>
            </w:r>
          </w:p>
        </w:tc>
        <w:tc>
          <w:tcPr>
            <w:tcW w:w="4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(4.6)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23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 performance</w:t>
            </w:r>
          </w:p>
        </w:tc>
        <w:tc>
          <w:tcPr>
            <w:tcW w:w="4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20.6</w:t>
            </w:r>
          </w:p>
        </w:tc>
      </w:tr>
      <w:tr>
        <w:trPr>
          <w:trHeight w:val="180"/>
        </w:trPr>
        <w:tc>
          <w:tcPr>
            <w:tcW w:w="2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4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(0.7)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23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Operations disposed (1)</w:t>
            </w:r>
          </w:p>
        </w:tc>
        <w:tc>
          <w:tcPr>
            <w:tcW w:w="4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Effect of exchange rates</w:t>
            </w:r>
          </w:p>
        </w:tc>
        <w:tc>
          <w:tcPr>
            <w:tcW w:w="42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r>
      <w:tr>
        <w:trPr>
          <w:trHeight w:val="172"/>
        </w:trPr>
        <w:tc>
          <w:tcPr>
            <w:tcW w:w="23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AUM, end of period</w:t>
            </w:r>
          </w:p>
        </w:tc>
        <w:tc>
          <w:tcPr>
            <w:tcW w:w="4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50"/>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689.3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680.3</w:t>
            </w:r>
          </w:p>
        </w:tc>
      </w:tr>
      <w:tr>
        <w:trPr>
          <w:trHeight w:val="20"/>
        </w:trPr>
        <w:tc>
          <w:tcPr>
            <w:tcW w:w="2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4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the divestment of Origin Asset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Asset Management Segment Summary Financial Data</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table presents certain summary financial data relating to the Principal Asset Management segment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24"/>
              <w:spacing w:after="0" w:line="134"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0" w:type="dxa"/>
            <w:vAlign w:val="bottom"/>
          </w:tcPr>
          <w:p>
            <w:pPr>
              <w:spacing w:after="0"/>
              <w:rPr>
                <w:sz w:val="1"/>
                <w:szCs w:val="1"/>
                <w:color w:val="auto"/>
              </w:rPr>
            </w:pPr>
          </w:p>
        </w:tc>
      </w:tr>
      <w:tr>
        <w:trPr>
          <w:trHeight w:val="136"/>
        </w:trPr>
        <w:tc>
          <w:tcPr>
            <w:tcW w:w="4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2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w:t>
            </w: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1700" w:type="dxa"/>
            <w:vAlign w:val="bottom"/>
            <w:gridSpan w:val="2"/>
          </w:tcPr>
          <w:p>
            <w:pPr>
              <w:jc w:val="right"/>
              <w:ind w:right="6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38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50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w:t>
            </w: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518.4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502.9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9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166.7</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150.4</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686.8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655.3</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Expenses:</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74.5</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loss</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403.4</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391.7</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expenses</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494.5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466.2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Pre-tax operating earnings attributable to noncontrolling interest</w:t>
            </w:r>
          </w:p>
        </w:tc>
        <w:tc>
          <w:tcPr>
            <w:tcW w:w="9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Pre-tax operating earnings</w:t>
            </w:r>
          </w:p>
        </w:tc>
        <w:tc>
          <w:tcPr>
            <w:tcW w:w="9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187.5</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187.1</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00" w:type="dxa"/>
            <w:vAlign w:val="bottom"/>
            <w:vMerge w:val="restart"/>
          </w:tcPr>
          <w:p>
            <w:pPr>
              <w:jc w:val="right"/>
              <w:ind w:right="326"/>
              <w:spacing w:after="0"/>
              <w:rPr>
                <w:sz w:val="20"/>
                <w:szCs w:val="20"/>
                <w:color w:val="auto"/>
              </w:rPr>
            </w:pPr>
            <w:r>
              <w:rPr>
                <w:rFonts w:ascii="Times New Roman" w:cs="Times New Roman" w:eastAsia="Times New Roman" w:hAnsi="Times New Roman"/>
                <w:sz w:val="16"/>
                <w:szCs w:val="16"/>
                <w:color w:val="auto"/>
              </w:rPr>
              <w:t>117</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2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117" w:name="page118"/>
    <w:bookmarkEnd w:id="11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Pre-Tax Operating Earnings</w:t>
      </w:r>
    </w:p>
    <w:p>
      <w:pPr>
        <w:spacing w:after="0" w:line="190"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Pre-tax operating earnings increased in our International Pension operations primarily due to $ 4.8 million of lower expenses in Asia. Pre-tax operating earnings decreased in our Investment Management operations due to a $19.7 million increase in variable compensation expense and a $2.4 million decrease in borrower fees revenue related to lower production in 2025. These decreases were partially offset by $18.5 million higher management fee revenue as a result of increased average AUM.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Benefits and Protection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Benefits and Protection Segment Summary Financial Data</w:t>
      </w:r>
    </w:p>
    <w:p>
      <w:pPr>
        <w:spacing w:after="0" w:line="192" w:lineRule="exact"/>
        <w:rPr>
          <w:sz w:val="20"/>
          <w:szCs w:val="20"/>
          <w:color w:val="auto"/>
        </w:rPr>
      </w:pPr>
    </w:p>
    <w:p>
      <w:pPr>
        <w:ind w:right="220" w:firstLine="576"/>
        <w:spacing w:after="0" w:line="243" w:lineRule="auto"/>
        <w:rPr>
          <w:sz w:val="20"/>
          <w:szCs w:val="20"/>
          <w:color w:val="auto"/>
        </w:rPr>
      </w:pPr>
      <w:r>
        <w:rPr>
          <w:rFonts w:ascii="Times New Roman" w:cs="Times New Roman" w:eastAsia="Times New Roman" w:hAnsi="Times New Roman"/>
          <w:sz w:val="16"/>
          <w:szCs w:val="16"/>
          <w:color w:val="auto"/>
        </w:rPr>
        <w:t>Premium and fees are a key metric for growth in the Benefits and Protection segment. We receive premiums on our specialty benefits insurance products as well as our traditional life insurance products. Fees are generated from our universal life, variable universal life and indexed universal life insurance products. We use several reinsurance programs to help manage the mortality and morbidity risk. Premium and fees are reported net of reinsurance premiums.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the Benefits and Protection segment premium and fees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ind w:right="668"/>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34"/>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28"/>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0"/>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(decrease)</w:t>
            </w:r>
          </w:p>
        </w:tc>
      </w:tr>
      <w:tr>
        <w:trPr>
          <w:trHeight w:val="136"/>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28"/>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0"/>
        </w:trPr>
        <w:tc>
          <w:tcPr>
            <w:tcW w:w="5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Premium and fees: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5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Specialty Benefits</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831.5</w:t>
            </w:r>
          </w:p>
        </w:tc>
        <w:tc>
          <w:tcPr>
            <w:tcW w:w="3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801.3</w:t>
            </w: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r>
      <w:tr>
        <w:trPr>
          <w:trHeight w:val="180"/>
        </w:trPr>
        <w:tc>
          <w:tcPr>
            <w:tcW w:w="57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Life Insurance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235.1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certain summary financial data relating to the Benefits and Protection segment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34"/>
        </w:trPr>
        <w:tc>
          <w:tcPr>
            <w:tcW w:w="4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04"/>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0" w:type="dxa"/>
            <w:vAlign w:val="bottom"/>
          </w:tcPr>
          <w:p>
            <w:pPr>
              <w:spacing w:after="0"/>
              <w:rPr>
                <w:sz w:val="1"/>
                <w:szCs w:val="1"/>
                <w:color w:val="auto"/>
              </w:rPr>
            </w:pPr>
          </w:p>
        </w:tc>
      </w:tr>
      <w:tr>
        <w:trPr>
          <w:trHeight w:val="136"/>
        </w:trPr>
        <w:tc>
          <w:tcPr>
            <w:tcW w:w="4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4"/>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w:t>
            </w: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Premiums and other considerations</w:t>
            </w:r>
          </w:p>
        </w:tc>
        <w:tc>
          <w:tcPr>
            <w:tcW w:w="174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947.4</w:t>
            </w:r>
          </w:p>
        </w:tc>
        <w:tc>
          <w:tcPr>
            <w:tcW w:w="2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921.6</w:t>
            </w:r>
          </w:p>
        </w:tc>
        <w:tc>
          <w:tcPr>
            <w:tcW w:w="3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Fees and other revenues</w:t>
            </w: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119.0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1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147.8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150.8</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1,214.2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1,185.9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Expenses:</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Benefits, claims and settlement expenses</w:t>
            </w: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699.3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681.9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Dividends to policyholders</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for future policy benefits remeasurement (gain) loss</w:t>
            </w:r>
          </w:p>
        </w:tc>
        <w:tc>
          <w:tcPr>
            <w:tcW w:w="1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(0.4)</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1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376.7</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356.6</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expenses</w:t>
            </w: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1,094.7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1,074.1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Pre-tax operating earnings</w:t>
            </w:r>
          </w:p>
        </w:tc>
        <w:tc>
          <w:tcPr>
            <w:tcW w:w="15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119.5</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111.8</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20" w:type="dxa"/>
            <w:vAlign w:val="bottom"/>
            <w:vMerge w:val="restart"/>
          </w:tcPr>
          <w:p>
            <w:pPr>
              <w:jc w:val="right"/>
              <w:ind w:right="882"/>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118" w:name="page119"/>
    <w:bookmarkEnd w:id="11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Pre-Tax Operating Earnings</w:t>
      </w:r>
    </w:p>
    <w:p>
      <w:pPr>
        <w:spacing w:after="0" w:line="190"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6"/>
          <w:szCs w:val="16"/>
          <w:color w:val="auto"/>
        </w:rPr>
        <w:t>Pre-tax operating earnings in our Specialty Benefits business increased $ 4.2 million primarily due to growth in the business. Pre-tax operating earnings in our Life Insurance business increased $ 12.9 million due to a change in the policyholder dividend obligation and $6.6 million due to higher yields on invested assets. These increases were offset by a $13.9 million impact from unfavorable claims experience.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Operating Revenues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Premium and fees increased primarily due to growth in our Specialty Benefits business.</w:t>
      </w:r>
    </w:p>
    <w:p>
      <w:pPr>
        <w:spacing w:after="0" w:line="188" w:lineRule="exact"/>
        <w:rPr>
          <w:sz w:val="20"/>
          <w:szCs w:val="20"/>
          <w:color w:val="auto"/>
        </w:rPr>
      </w:pPr>
    </w:p>
    <w:p>
      <w:pPr>
        <w:jc w:val="both"/>
        <w:ind w:right="240" w:firstLine="576"/>
        <w:spacing w:after="0" w:line="299" w:lineRule="auto"/>
        <w:rPr>
          <w:sz w:val="20"/>
          <w:szCs w:val="20"/>
          <w:color w:val="auto"/>
        </w:rPr>
      </w:pPr>
      <w:r>
        <w:rPr>
          <w:rFonts w:ascii="Times New Roman" w:cs="Times New Roman" w:eastAsia="Times New Roman" w:hAnsi="Times New Roman"/>
          <w:sz w:val="14"/>
          <w:szCs w:val="14"/>
          <w:color w:val="auto"/>
        </w:rPr>
        <w:t>Net investment income in our Specialty Benefits business increased $2.9 million due to higher yields on invested assets and $2.5 million due to growth in invested assets. Net investment income in our Life Insurance business decreased $16.1 million from mark -to-market changes on options associated with our indexed universal life insurance, partially offset by a $6.6 million increase due to higher yields on invested assets.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Total Expenses</w:t>
      </w:r>
    </w:p>
    <w:p>
      <w:pPr>
        <w:spacing w:after="0" w:line="19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Benefits, claims and settlement expenses in our Specialty Benefits business increased $18.3 million from growth in the business. Benefits, claims and settlement expenses in our Life Insurance business decreased $16.8 million from changes in reserves and interest credited associated with our indexed universal life business, partially offset by a $13.9 million increase from unfavorable claims experience.</w:t>
      </w:r>
    </w:p>
    <w:p>
      <w:pPr>
        <w:spacing w:after="0" w:line="164"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Dividends to policyholders in our Life Insurance business decreased $12.9 million due to a change in the policyholder dividend obligation, partially offset by a $2.6 million increase due to higher dividends on our Closed Block business.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Operating expenses increased primarily due to higher net commissions in our Specialty Benefits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Segment Summary Financial Data</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certain summary financial data relating to the Corporate segment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9"/>
          </w:tcPr>
          <w:p>
            <w:pPr>
              <w:ind w:left="26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6"/>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0" w:type="dxa"/>
            <w:vAlign w:val="bottom"/>
          </w:tcPr>
          <w:p>
            <w:pPr>
              <w:spacing w:after="0"/>
              <w:rPr>
                <w:sz w:val="1"/>
                <w:szCs w:val="1"/>
                <w:color w:val="auto"/>
              </w:rPr>
            </w:pPr>
          </w:p>
        </w:tc>
      </w:tr>
      <w:tr>
        <w:trPr>
          <w:trHeight w:val="136"/>
        </w:trPr>
        <w:tc>
          <w:tcPr>
            <w:tcW w:w="6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6"/>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operating revenues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37.1</w:t>
            </w:r>
          </w:p>
        </w:tc>
        <w:tc>
          <w:tcPr>
            <w:tcW w:w="10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3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Pre-tax operating earnings (losses) attributable to noncontrolling interest</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2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Pre-tax operating losses</w:t>
            </w:r>
          </w:p>
        </w:tc>
        <w:tc>
          <w:tcPr>
            <w:tcW w:w="200" w:type="dxa"/>
            <w:vAlign w:val="bottom"/>
            <w:tcBorders>
              <w:top w:val="single" w:sz="8" w:color="auto"/>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(88.9)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Pre-Tax Operating Losses</w:t>
      </w:r>
    </w:p>
    <w:p>
      <w:pPr>
        <w:spacing w:after="0" w:line="190"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Pre-tax operating losses increased primarily due to $10.4 million lower net investment income largely resulting from mark-to-market losses on investments in 2025 relative to mark-to-market gains in 2024 and an $8.4 million increase in compensation costs.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19" w:name="page120"/>
    <w:bookmarkEnd w:id="11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0"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Liquidity and capital resources represent the overall strength of a company and its ability to generate strong cash flows, borrow funds at a competitive rate and raise new capital to meet operating and growth needs. We are monitoring our liquidity closely and feel confident in our ability to meet all long-term obligations to customers, policyholders and debt holders. Our sources of strength include our laddered long-term debt maturities with the next maturity occurring in May 2025, access to revolving credit facility and contingent funding arrangements, a strong risk-based capital position and our available cash and liquid assets. Our legal entity structure has an impact on our ability to meet cash flow needs as an organization. Following is a simplified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118110</wp:posOffset>
            </wp:positionV>
            <wp:extent cx="4977130" cy="170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77130" cy="170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192"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Our liquidity requirements have been and will continue to be met by funds from consolidated operations as well as the issuance of commercial paper, common stock, debt or other capital securities and borrowings from credit facilities. We believe the cash flows from these sources are sufficient to satisfy the current liquidity requirements of our operations, including reasonably foreseeable contingencies.</w:t>
      </w:r>
    </w:p>
    <w:p>
      <w:pPr>
        <w:spacing w:after="0" w:line="164" w:lineRule="exact"/>
        <w:rPr>
          <w:sz w:val="20"/>
          <w:szCs w:val="20"/>
          <w:color w:val="auto"/>
        </w:rPr>
      </w:pPr>
    </w:p>
    <w:p>
      <w:pPr>
        <w:jc w:val="both"/>
        <w:ind w:right="120" w:firstLine="576"/>
        <w:spacing w:after="0" w:line="243" w:lineRule="auto"/>
        <w:rPr>
          <w:sz w:val="20"/>
          <w:szCs w:val="20"/>
          <w:color w:val="auto"/>
        </w:rPr>
      </w:pPr>
      <w:r>
        <w:rPr>
          <w:rFonts w:ascii="Times New Roman" w:cs="Times New Roman" w:eastAsia="Times New Roman" w:hAnsi="Times New Roman"/>
          <w:sz w:val="16"/>
          <w:szCs w:val="16"/>
          <w:color w:val="auto"/>
        </w:rPr>
        <w:t>We maintain a level of cash and securities which, combined with expected cash inflows from investments and operations, we believe to be adequate to meet anticipated short-term and long-term payment obligations. We will continue our prudent capital management practice of regularly exploring options available to us to maximize capital flexibility, including accessing the capital markets and careful attention to and management of expenses.</w:t>
      </w:r>
    </w:p>
    <w:p>
      <w:pPr>
        <w:spacing w:after="0" w:line="167"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We perform rigorous liquidity stress testing to ensure our asset portfolio includes sufficient high quality liquid assets that could be utilized to bolster our liquidity position under increasingly stressed market conditions. These assets could be utilized as collateral for secured borrowing transactions with various third parties or by selling the securities in the open market if needed.</w:t>
      </w:r>
    </w:p>
    <w:p>
      <w:pPr>
        <w:spacing w:after="0" w:line="164"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We also manage liquidity risk by limiting the sales of liabilities with features such as puts or other options that can be exercised at inopportune times. For example, as of March 31, 2025, approximately $14.6 billion, or 99%, of our institutional guaranteed investment contracts and funding agreements cannot be redeemed by contractholders prior to maturity. Our individual annuity liabilities also contain surrender charges and other provisions limiting early surrenders.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0" w:name="page121"/>
    <w:bookmarkEnd w:id="120"/>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The following table summarizes the withdrawal characteristics of our domestic general account investment contracts as of March 31, 2025.</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Contractholder funds,</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0"/>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net of reinsurance</w:t>
            </w:r>
          </w:p>
        </w:tc>
        <w:tc>
          <w:tcPr>
            <w:tcW w:w="200" w:type="dxa"/>
            <w:vAlign w:val="bottom"/>
          </w:tcPr>
          <w:p>
            <w:pPr>
              <w:spacing w:after="0"/>
              <w:rPr>
                <w:sz w:val="14"/>
                <w:szCs w:val="14"/>
                <w:color w:val="auto"/>
              </w:rPr>
            </w:pPr>
          </w:p>
        </w:tc>
        <w:tc>
          <w:tcPr>
            <w:tcW w:w="1580" w:type="dxa"/>
            <w:vAlign w:val="bottom"/>
            <w:gridSpan w:val="2"/>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48"/>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46"/>
              <w:spacing w:after="0" w:line="148"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Not subject to discretionary withdrawal</w:t>
            </w:r>
          </w:p>
        </w:tc>
        <w:tc>
          <w:tcPr>
            <w:tcW w:w="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15,500.9</w:t>
            </w:r>
          </w:p>
        </w:tc>
        <w:tc>
          <w:tcPr>
            <w:tcW w:w="17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53.4 %</w:t>
            </w:r>
          </w:p>
        </w:tc>
      </w:tr>
      <w:tr>
        <w:trPr>
          <w:trHeight w:val="180"/>
        </w:trPr>
        <w:tc>
          <w:tcPr>
            <w:tcW w:w="6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Subject to discretionary withdrawal with adjustments: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60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Specified surrender charges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6,714.3</w:t>
            </w:r>
          </w:p>
        </w:tc>
        <w:tc>
          <w:tcPr>
            <w:tcW w:w="16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23.2</w:t>
            </w:r>
          </w:p>
        </w:tc>
        <w:tc>
          <w:tcPr>
            <w:tcW w:w="180" w:type="dxa"/>
            <w:vAlign w:val="bottom"/>
            <w:shd w:val="clear" w:color="auto" w:fill="CCEEFF"/>
          </w:tcPr>
          <w:p>
            <w:pPr>
              <w:spacing w:after="0"/>
              <w:rPr>
                <w:sz w:val="15"/>
                <w:szCs w:val="15"/>
                <w:color w:val="auto"/>
              </w:rPr>
            </w:pPr>
          </w:p>
        </w:tc>
      </w:tr>
      <w:tr>
        <w:trPr>
          <w:trHeight w:val="180"/>
        </w:trPr>
        <w:tc>
          <w:tcPr>
            <w:tcW w:w="60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Market value adjustments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6,777.2</w:t>
            </w:r>
          </w:p>
        </w:tc>
        <w:tc>
          <w:tcPr>
            <w:tcW w:w="1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23.4</w:t>
            </w:r>
          </w:p>
        </w:tc>
        <w:tc>
          <w:tcPr>
            <w:tcW w:w="180" w:type="dxa"/>
            <w:vAlign w:val="bottom"/>
          </w:tcPr>
          <w:p>
            <w:pPr>
              <w:spacing w:after="0"/>
              <w:rPr>
                <w:sz w:val="15"/>
                <w:szCs w:val="15"/>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Subject to discretionary withdrawal without adjustments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0.7</w:t>
            </w:r>
          </w:p>
        </w:tc>
        <w:tc>
          <w:tcPr>
            <w:tcW w:w="2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72"/>
        </w:trPr>
        <w:tc>
          <w:tcPr>
            <w:tcW w:w="60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domestic investment contracts</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4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28,993.1</w:t>
            </w:r>
          </w:p>
        </w:tc>
        <w:tc>
          <w:tcPr>
            <w:tcW w:w="2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left="2" w:right="220" w:firstLine="576"/>
        <w:spacing w:after="0" w:line="243" w:lineRule="auto"/>
        <w:rPr>
          <w:sz w:val="20"/>
          <w:szCs w:val="20"/>
          <w:color w:val="auto"/>
        </w:rPr>
      </w:pPr>
      <w:r>
        <w:rPr>
          <w:rFonts w:ascii="Times New Roman" w:cs="Times New Roman" w:eastAsia="Times New Roman" w:hAnsi="Times New Roman"/>
          <w:sz w:val="16"/>
          <w:szCs w:val="16"/>
          <w:color w:val="auto"/>
        </w:rPr>
        <w:t>Universal life insurance and certain traditional life insurance policies are also subject to discretionary withdrawals by policyholders. However, life insurance policies tend to be less susceptible to withdrawal than our investment contracts because policyholders may be subject to a new underwriting process in order to obtain a new life insurance policy. In addition, our life insurance liabilities include surrender charges to discourage early surrenders.</w:t>
      </w:r>
    </w:p>
    <w:p>
      <w:pPr>
        <w:spacing w:after="0" w:line="16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had the following short-term credit financing structures available with various financial institutions as of March 31, 2025:</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0"/>
        </w:trPr>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Obligor/Applicant</w:t>
            </w:r>
          </w:p>
        </w:tc>
        <w:tc>
          <w:tcPr>
            <w:tcW w:w="180" w:type="dxa"/>
            <w:vAlign w:val="bottom"/>
          </w:tcPr>
          <w:p>
            <w:pPr>
              <w:spacing w:after="0"/>
              <w:rPr>
                <w:sz w:val="14"/>
                <w:szCs w:val="14"/>
                <w:color w:val="auto"/>
              </w:rPr>
            </w:pPr>
          </w:p>
        </w:tc>
        <w:tc>
          <w:tcPr>
            <w:tcW w:w="1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Financing structure</w:t>
            </w:r>
          </w:p>
        </w:tc>
        <w:tc>
          <w:tcPr>
            <w:tcW w:w="180" w:type="dxa"/>
            <w:vAlign w:val="bottom"/>
          </w:tcPr>
          <w:p>
            <w:pPr>
              <w:spacing w:after="0"/>
              <w:rPr>
                <w:sz w:val="14"/>
                <w:szCs w:val="14"/>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w w:val="99"/>
              </w:rPr>
              <w:t>outstanding (3)</w:t>
            </w:r>
          </w:p>
        </w:tc>
      </w:tr>
      <w:tr>
        <w:trPr>
          <w:trHeight w:val="148"/>
        </w:trPr>
        <w:tc>
          <w:tcPr>
            <w:tcW w:w="2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1280" w:type="dxa"/>
            <w:vAlign w:val="bottom"/>
            <w:gridSpan w:val="3"/>
          </w:tcPr>
          <w:p>
            <w:pPr>
              <w:jc w:val="right"/>
              <w:ind w:right="686"/>
              <w:spacing w:after="0" w:line="148" w:lineRule="exact"/>
              <w:rPr>
                <w:sz w:val="20"/>
                <w:szCs w:val="20"/>
                <w:color w:val="auto"/>
              </w:rPr>
            </w:pPr>
            <w:r>
              <w:rPr>
                <w:rFonts w:ascii="Times New Roman" w:cs="Times New Roman" w:eastAsia="Times New Roman" w:hAnsi="Times New Roman"/>
                <w:sz w:val="13"/>
                <w:szCs w:val="13"/>
                <w:i w:val="1"/>
                <w:iCs w:val="1"/>
                <w:color w:val="auto"/>
              </w:rPr>
              <w:t>millions)</w:t>
            </w:r>
          </w:p>
        </w:tc>
      </w:tr>
      <w:tr>
        <w:trPr>
          <w:trHeight w:val="180"/>
        </w:trPr>
        <w:tc>
          <w:tcPr>
            <w:tcW w:w="3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Principal Life (1)</w:t>
            </w: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Credit facility</w:t>
            </w:r>
          </w:p>
        </w:tc>
        <w:tc>
          <w:tcPr>
            <w:tcW w:w="12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October 2027</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800.0</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180"/>
        </w:trPr>
        <w:tc>
          <w:tcPr>
            <w:tcW w:w="3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Principal Compañía de Seguros de Vida Chile S.A. (2)</w:t>
            </w:r>
          </w:p>
        </w:tc>
        <w:tc>
          <w:tcPr>
            <w:tcW w:w="180" w:type="dxa"/>
            <w:vAlign w:val="bottom"/>
          </w:tcPr>
          <w:p>
            <w:pPr>
              <w:spacing w:after="0"/>
              <w:rPr>
                <w:sz w:val="15"/>
                <w:szCs w:val="15"/>
                <w:color w:val="auto"/>
              </w:rPr>
            </w:pPr>
          </w:p>
        </w:tc>
        <w:tc>
          <w:tcPr>
            <w:tcW w:w="1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lines of credit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26.0</w:t>
            </w:r>
          </w:p>
        </w:tc>
      </w:tr>
      <w:tr>
        <w:trPr>
          <w:trHeight w:val="180"/>
        </w:trPr>
        <w:tc>
          <w:tcPr>
            <w:tcW w:w="3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Principal International de Chile S.A. (2)</w:t>
            </w: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lines of credit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w:t>
            </w:r>
          </w:p>
        </w:tc>
      </w:tr>
      <w:tr>
        <w:trPr>
          <w:trHeight w:val="172"/>
        </w:trPr>
        <w:tc>
          <w:tcPr>
            <w:tcW w:w="38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907.3</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28.9</w:t>
            </w:r>
          </w:p>
        </w:tc>
      </w:tr>
      <w:tr>
        <w:trPr>
          <w:trHeight w:val="20"/>
        </w:trPr>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facility is supported by sixteen banks.</w:t>
      </w:r>
    </w:p>
    <w:p>
      <w:pPr>
        <w:spacing w:after="0" w:line="14" w:lineRule="exact"/>
        <w:rPr>
          <w:rFonts w:ascii="Times New Roman" w:cs="Times New Roman" w:eastAsia="Times New Roman" w:hAnsi="Times New Roman"/>
          <w:sz w:val="16"/>
          <w:szCs w:val="16"/>
          <w:color w:val="auto"/>
        </w:rPr>
      </w:pPr>
    </w:p>
    <w:p>
      <w:pPr>
        <w:ind w:left="282" w:hanging="282"/>
        <w:spacing w:after="0" w:line="234" w:lineRule="auto"/>
        <w:tabs>
          <w:tab w:leader="none" w:pos="28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unsecured lines of credit can be used for repurchase agreements or other borrowings. Each line has a maturity ofless than one year.</w:t>
      </w:r>
    </w:p>
    <w:p>
      <w:pPr>
        <w:ind w:left="282" w:hanging="282"/>
        <w:spacing w:after="0"/>
        <w:tabs>
          <w:tab w:leader="none" w:pos="28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outstanding is reported in short-term debt on the consolidated statements of financial position.</w:t>
      </w:r>
    </w:p>
    <w:p>
      <w:pPr>
        <w:spacing w:after="0" w:line="170" w:lineRule="exact"/>
        <w:rPr>
          <w:sz w:val="20"/>
          <w:szCs w:val="20"/>
          <w:color w:val="auto"/>
        </w:rPr>
      </w:pPr>
    </w:p>
    <w:p>
      <w:pPr>
        <w:ind w:left="2" w:right="240" w:firstLine="576"/>
        <w:spacing w:after="0" w:line="289" w:lineRule="auto"/>
        <w:rPr>
          <w:sz w:val="20"/>
          <w:szCs w:val="20"/>
          <w:color w:val="auto"/>
        </w:rPr>
      </w:pPr>
      <w:r>
        <w:rPr>
          <w:rFonts w:ascii="Times New Roman" w:cs="Times New Roman" w:eastAsia="Times New Roman" w:hAnsi="Times New Roman"/>
          <w:sz w:val="14"/>
          <w:szCs w:val="14"/>
          <w:color w:val="auto"/>
        </w:rPr>
        <w:t>The revolving credit facility is committed and available for general corporate purposes. The credit facility also provides 100% back -stop support for our commercial paper program, of which we had no outstanding balances as of March 31, 2025 and December 31, 2024. Most of the banks supporting the credit facility have other relationships with us. Due to the financial strength and the strong relationships we have with these providers, we are comfortable we have very low risk the financial institutions would be unable or unwilling to fund this facility.</w:t>
      </w:r>
    </w:p>
    <w:p>
      <w:pPr>
        <w:spacing w:after="0" w:line="133" w:lineRule="exact"/>
        <w:rPr>
          <w:sz w:val="20"/>
          <w:szCs w:val="20"/>
          <w:color w:val="auto"/>
        </w:rPr>
      </w:pPr>
    </w:p>
    <w:p>
      <w:pPr>
        <w:ind w:left="2" w:right="20" w:firstLine="576"/>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Holding Companies: PFG and PFS. </w:t>
      </w:r>
      <w:r>
        <w:rPr>
          <w:rFonts w:ascii="Times New Roman" w:cs="Times New Roman" w:eastAsia="Times New Roman" w:hAnsi="Times New Roman"/>
          <w:sz w:val="16"/>
          <w:szCs w:val="16"/>
          <w:color w:val="auto"/>
        </w:rPr>
        <w:t>The principal sources of funds available to our parent holding company, PFG, are dividends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subsidiaries as well as its ability to borrow funds at competitive rates and raise capital to meet operating and growth needs. These funds are used by PFG to meet its obligations, which include the payment of dividends on common stock, debt service and the repurchase of stock. The declaration and payment of common stock dividends is subject to the discretion of our Board and will depend on our overall financial condition, results of operations, capital levels, cash requirements, future prospects, receipt of dividends or other distributions from Principal Life (as described below), risk management considerations and other factors deemed relevant by the Board. No significant restrictions limit the payment of dividends by PFG, except those generally applicable to corporations incorporated in Delaware.</w:t>
      </w:r>
    </w:p>
    <w:p>
      <w:pPr>
        <w:spacing w:after="0" w:line="3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21" w:name="page122"/>
    <w:bookmarkEnd w:id="12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Dividends or other distributions from Principal Life, our primary subsidiary, are limited by Iowa law. Under Iowa law, Principal Life may pay dividends or make other distributions only from the earned surplus arising from its business and must receive the prior approval of the Commissioner of Insurance of the State of Iowa (the “Commissioner”) to pay stockholder dividends or make any other distribution if such distribution would exceed certain statutory limitations. Iowa law gives the Commissioner discretion to disapprove requests for distributions in excess of these limitations. Extraordinary dividends include those made, together with dividends and other distributions, within the preceding twelve months that exceed the greater of (i) 10% of statutory policyholder surplus as of the previous year-end excluding admitted disallowed interest maintenance reserve or (ii) the statutory net gain from operations from the previous calendar year, not to exceed earned surplus. Based on statutory results for the year ended December 31, 2024, the ordinary stockholder dividend limitation for Principal Life is approximately $1,313.1 million in 2025. However, because the dividend test is based on dividends previously paid over rolling twelve month periods, if paid before a specified date during 2025, some or all of such dividends may be extraordinary and require regulatory approval.</w:t>
      </w:r>
    </w:p>
    <w:p>
      <w:pPr>
        <w:spacing w:after="0" w:line="176"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Total stockholder dividends paid by Principal Life to its parent for the three months ended March 31, 2025, were $350.0 million, all of which was extraordinary and approved by the Commissioner. As of March 31, 2025, we had $1,599.4 million of cash and liquid assets held in our holding companies and other subsidiaries, which is available for corporate purposes. Corporate balances held in foreign holding companies meet the indefinite reinvestment exception.</w:t>
      </w:r>
    </w:p>
    <w:p>
      <w:pPr>
        <w:spacing w:after="0" w:line="163" w:lineRule="exact"/>
        <w:rPr>
          <w:sz w:val="20"/>
          <w:szCs w:val="20"/>
          <w:color w:val="auto"/>
        </w:rPr>
      </w:pPr>
    </w:p>
    <w:p>
      <w:pPr>
        <w:ind w:right="20" w:firstLine="576"/>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Operations. </w:t>
      </w:r>
      <w:r>
        <w:rPr>
          <w:rFonts w:ascii="Times New Roman" w:cs="Times New Roman" w:eastAsia="Times New Roman" w:hAnsi="Times New Roman"/>
          <w:sz w:val="16"/>
          <w:szCs w:val="16"/>
          <w:color w:val="auto"/>
        </w:rPr>
        <w:t>Our primary consolidated cash flow sources are premiums from insurance products, pension and annuity deposits,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fee revenues, administrative services fee revenues, income from investments and proceeds from the sales or maturity of investments. Cash outflows consist primarily of payment of benefits to policyholders and beneficiaries, income and other taxes, current operating expenses, payment of dividends to policyholders, payments in connection with investments acquired, payments made to acquire subsidiaries, payments relating to policy and contract surrenders, withdrawals, policy loans, interest payments and repayment of short-term debt and long-term debt. Our investment strategies are generally intended to provide adequate funds to pay benefits without forced sales of investments. For a discussion of our investment objectives and strategies, see “Investments.”</w:t>
      </w:r>
    </w:p>
    <w:p>
      <w:pPr>
        <w:spacing w:after="0" w:line="170" w:lineRule="exact"/>
        <w:rPr>
          <w:sz w:val="20"/>
          <w:szCs w:val="20"/>
          <w:color w:val="auto"/>
        </w:rPr>
      </w:pPr>
    </w:p>
    <w:p>
      <w:pPr>
        <w:ind w:right="400" w:firstLine="576"/>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Flows. </w:t>
      </w:r>
      <w:r>
        <w:rPr>
          <w:rFonts w:ascii="Times New Roman" w:cs="Times New Roman" w:eastAsia="Times New Roman" w:hAnsi="Times New Roman"/>
          <w:sz w:val="16"/>
          <w:szCs w:val="16"/>
          <w:color w:val="auto"/>
        </w:rPr>
        <w:t>Cash flow activity, as reported in our consolidated statements of cash flows, provides relevant information regarding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sources and uses of cash. The following discussion of our operating, investing and financing portions of the cash flows excludes cash flows attributable to the separate accounts.</w:t>
      </w:r>
    </w:p>
    <w:p>
      <w:pPr>
        <w:spacing w:after="0" w:line="164" w:lineRule="exact"/>
        <w:rPr>
          <w:sz w:val="20"/>
          <w:szCs w:val="20"/>
          <w:color w:val="auto"/>
        </w:rPr>
      </w:pPr>
    </w:p>
    <w:p>
      <w:pPr>
        <w:ind w:right="60" w:firstLine="576"/>
        <w:spacing w:after="0" w:line="239" w:lineRule="auto"/>
        <w:rPr>
          <w:sz w:val="20"/>
          <w:szCs w:val="20"/>
          <w:color w:val="auto"/>
        </w:rPr>
      </w:pPr>
      <w:r>
        <w:rPr>
          <w:rFonts w:ascii="Times New Roman" w:cs="Times New Roman" w:eastAsia="Times New Roman" w:hAnsi="Times New Roman"/>
          <w:sz w:val="16"/>
          <w:szCs w:val="16"/>
          <w:color w:val="auto"/>
        </w:rPr>
        <w:t>Net cash provided by operating activities was $977.3 million and $ 584.2 million for the three months ended March 31, 2025 and 2024, respectively. Our insurance business typically generates positive cash flows from operating activities, as premiums collected from our insurance products and investment income received exceed acquisition costs, benefits paid, redemptions and operating expenses. These positive cash flows are then invested to support the obligations of our insurance and investment products and required capital supporting these products. Our cash flows from operating activities are affected by the timing of premiums, fees and investment income received and benefits and expenses paid. The increase in cash provided by operating activities in 2025 compared to 2024 was primarily due to fluctuations in receivables and payables associated with the timing of settlements.</w:t>
      </w:r>
    </w:p>
    <w:p>
      <w:pPr>
        <w:spacing w:after="0" w:line="170" w:lineRule="exact"/>
        <w:rPr>
          <w:sz w:val="20"/>
          <w:szCs w:val="20"/>
          <w:color w:val="auto"/>
        </w:rPr>
      </w:pPr>
    </w:p>
    <w:p>
      <w:pPr>
        <w:ind w:right="140" w:firstLine="576"/>
        <w:spacing w:after="0" w:line="331" w:lineRule="auto"/>
        <w:rPr>
          <w:sz w:val="20"/>
          <w:szCs w:val="20"/>
          <w:color w:val="auto"/>
        </w:rPr>
      </w:pPr>
      <w:r>
        <w:rPr>
          <w:rFonts w:ascii="Times New Roman" w:cs="Times New Roman" w:eastAsia="Times New Roman" w:hAnsi="Times New Roman"/>
          <w:sz w:val="14"/>
          <w:szCs w:val="14"/>
          <w:color w:val="auto"/>
        </w:rPr>
        <w:t>Net cash used in investing activities was $952.7 million and $1,343.2 million for the three months ended March 31, 2025 and 2024, respectively. The decrease in cash used in investing activities was primarily due to higher net sales of mortgage loans in 2025 as compared to 2024.</w:t>
      </w:r>
    </w:p>
    <w:p>
      <w:pPr>
        <w:spacing w:after="0" w:line="10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Net cash used in financing activities was $360.8 million for the three months ended March 31, 2025, compared to net cash provided by financing activities of $ 219.7 million for the three months ended March 31, 2024. The increase in cash used in financing activities was due to lower net investment contract deposits in 2025 as compared to 2024 and a net decrease in banking operation deposits in 2025 as compared to an increase in 2024.</w:t>
      </w:r>
    </w:p>
    <w:p>
      <w:pPr>
        <w:spacing w:after="0" w:line="163"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Guarantors and Issuers of Guaranteed Securities. </w:t>
      </w:r>
      <w:r>
        <w:rPr>
          <w:rFonts w:ascii="Times New Roman" w:cs="Times New Roman" w:eastAsia="Times New Roman" w:hAnsi="Times New Roman"/>
          <w:sz w:val="16"/>
          <w:szCs w:val="16"/>
          <w:color w:val="auto"/>
        </w:rPr>
        <w:t>PFG has issued certain notes pursuant to transactions registered under the Securities Act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1933. Such notes include all currently outstanding senior notes (the “registered notes”). For additional information on the senior notes, see Item 8. “Financial Statements and Supplementary Data, Notes to Consolidated Financial Statements, Note 13, Debt” in our Annual Report on Form 10-K for the year ended December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2" w:name="page123"/>
    <w:bookmarkEnd w:id="12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440" w:firstLine="576"/>
        <w:spacing w:after="0" w:line="243" w:lineRule="auto"/>
        <w:rPr>
          <w:sz w:val="20"/>
          <w:szCs w:val="20"/>
          <w:color w:val="auto"/>
        </w:rPr>
      </w:pPr>
      <w:r>
        <w:rPr>
          <w:rFonts w:ascii="Times New Roman" w:cs="Times New Roman" w:eastAsia="Times New Roman" w:hAnsi="Times New Roman"/>
          <w:sz w:val="16"/>
          <w:szCs w:val="16"/>
          <w:color w:val="auto"/>
        </w:rPr>
        <w:t>PFS, a wholly owned subsidiary of PFG, has guaranteed each of the registered notes on a full and unconditional basis. The full and unconditional guarantees require PFS to satisfy the obligations of the guaranteed security immediately, if and when PFG has failed to make a scheduled payment thereunder. If PFS does not make such payment, any holder of the guaranteed security may immediately bring suit directly against PFS for payment of amounts due and payable. No other subsidiary of PFG has guaranteed any of the registered notes.</w:t>
      </w:r>
    </w:p>
    <w:p>
      <w:pPr>
        <w:spacing w:after="0" w:line="167"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Summary financial information is presented below on a combined basis for PFG and PFS (the “obligor group”) and transactions between the obligor group have been eliminated. The summary financial information excludes subsidiaries that are not issuers or guarantors. Any investments by the obligor group in other subsidiaries have been excluded.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136"/>
        </w:trPr>
        <w:tc>
          <w:tcPr>
            <w:tcW w:w="4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4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320" w:type="dxa"/>
            <w:vAlign w:val="bottom"/>
          </w:tcPr>
          <w:p>
            <w:pPr>
              <w:spacing w:after="0"/>
              <w:rPr>
                <w:sz w:val="11"/>
                <w:szCs w:val="11"/>
                <w:color w:val="auto"/>
              </w:rPr>
            </w:pP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Summary Statements of Financial Position Information:</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investments</w:t>
            </w:r>
          </w:p>
        </w:tc>
        <w:tc>
          <w:tcPr>
            <w:tcW w:w="14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640.6</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357.3</w:t>
            </w: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618.5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618.5</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intangibles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384.2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391.2</w:t>
            </w: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313.3</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Due from non-obligor subsidiaries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323.3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2,753.1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2,367.3</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4,318.4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3,930.6</w:t>
            </w: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392.1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351.2</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Due to non-obligor subsidiaries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685.4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732.2</w:t>
            </w: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5,519.8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5,135.8</w:t>
            </w:r>
          </w:p>
        </w:tc>
      </w:tr>
      <w:tr>
        <w:trPr>
          <w:trHeight w:val="310"/>
        </w:trPr>
        <w:tc>
          <w:tcPr>
            <w:tcW w:w="4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136"/>
        </w:trPr>
        <w:tc>
          <w:tcPr>
            <w:tcW w:w="4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5"/>
          </w:tcPr>
          <w:p>
            <w:pPr>
              <w:jc w:val="right"/>
              <w:ind w:right="80"/>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320" w:type="dxa"/>
            <w:vAlign w:val="bottom"/>
          </w:tcPr>
          <w:p>
            <w:pPr>
              <w:spacing w:after="0"/>
              <w:rPr>
                <w:sz w:val="11"/>
                <w:szCs w:val="11"/>
                <w:color w:val="auto"/>
              </w:rPr>
            </w:pP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Summary Statements of Operations Information:</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gridSpan w:val="2"/>
          </w:tcPr>
          <w:p>
            <w:pPr>
              <w:jc w:val="right"/>
              <w:ind w:right="1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130.6</w:t>
            </w:r>
          </w:p>
        </w:tc>
      </w:tr>
      <w:tr>
        <w:trPr>
          <w:trHeight w:val="180"/>
        </w:trPr>
        <w:tc>
          <w:tcPr>
            <w:tcW w:w="4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497.1</w:t>
            </w: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r>
    </w:tbl>
    <w:p>
      <w:pPr>
        <w:spacing w:after="0" w:line="138"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Shelf Registration. </w:t>
      </w:r>
      <w:r>
        <w:rPr>
          <w:rFonts w:ascii="Times New Roman" w:cs="Times New Roman" w:eastAsia="Times New Roman" w:hAnsi="Times New Roman"/>
          <w:sz w:val="16"/>
          <w:szCs w:val="16"/>
          <w:color w:val="auto"/>
        </w:rPr>
        <w:t>Under our current shelf registration, we have the ability to issue, in unlimited amounts, unsecured senior debt securities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subordinated debt securities, junior subordinated debt, preferred stock, common stock, warrants, depositary shares, purchase contracts and purchase units of PFG. Our wholly owned subsidiary, PFS, may guarantee, fully and unconditionally or otherwise, our obligations with respect to any non-convertible securities, other than common stock, described in the shelf registration.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Short-Term Debt. </w:t>
      </w:r>
      <w:r>
        <w:rPr>
          <w:rFonts w:ascii="Times New Roman" w:cs="Times New Roman" w:eastAsia="Times New Roman" w:hAnsi="Times New Roman"/>
          <w:sz w:val="16"/>
          <w:szCs w:val="16"/>
          <w:color w:val="auto"/>
        </w:rPr>
        <w:t>The components of short-term debt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39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jc w:val="right"/>
              <w:ind w:right="5"/>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4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1340" w:type="dxa"/>
            <w:vAlign w:val="bottom"/>
          </w:tcPr>
          <w:p>
            <w:pPr>
              <w:spacing w:after="0"/>
              <w:rPr>
                <w:sz w:val="11"/>
                <w:szCs w:val="11"/>
                <w:color w:val="auto"/>
              </w:rPr>
            </w:pPr>
          </w:p>
        </w:tc>
      </w:tr>
      <w:tr>
        <w:trPr>
          <w:trHeight w:val="180"/>
        </w:trPr>
        <w:tc>
          <w:tcPr>
            <w:tcW w:w="3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Revolving line of credit</w:t>
            </w:r>
          </w:p>
        </w:tc>
        <w:tc>
          <w:tcPr>
            <w:tcW w:w="3260" w:type="dxa"/>
            <w:vAlign w:val="bottom"/>
            <w:gridSpan w:val="2"/>
            <w:shd w:val="clear" w:color="auto" w:fill="CCEEFF"/>
          </w:tcPr>
          <w:p>
            <w:pPr>
              <w:jc w:val="right"/>
              <w:ind w:right="108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1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119.0</w:t>
            </w:r>
          </w:p>
        </w:tc>
      </w:tr>
      <w:tr>
        <w:trPr>
          <w:trHeight w:val="180"/>
        </w:trPr>
        <w:tc>
          <w:tcPr>
            <w:tcW w:w="39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recourse short-term debt</w:t>
            </w:r>
          </w:p>
        </w:tc>
        <w:tc>
          <w:tcPr>
            <w:tcW w:w="20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28.9</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r>
      <w:tr>
        <w:trPr>
          <w:trHeight w:val="172"/>
        </w:trPr>
        <w:tc>
          <w:tcPr>
            <w:tcW w:w="396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short-term debt</w:t>
            </w:r>
          </w:p>
        </w:tc>
        <w:tc>
          <w:tcPr>
            <w:tcW w:w="20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88"/>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9"/>
              </w:rPr>
              <w:t>28.9</w:t>
            </w: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152.7</w:t>
            </w: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6"/>
          <w:szCs w:val="16"/>
          <w:color w:val="auto"/>
        </w:rPr>
        <w:t>The short-term credit facilities are used for general corporate purposes and borrowings outstanding can fluctuate as part of working capital management.</w:t>
      </w:r>
    </w:p>
    <w:p>
      <w:pPr>
        <w:sectPr>
          <w:pgSz w:w="11900" w:h="16840" w:orient="portrait"/>
          <w:cols w:equalWidth="0" w:num="1">
            <w:col w:w="9340"/>
          </w:cols>
          <w:pgMar w:left="1280" w:top="557" w:right="1280" w:bottom="1440" w:gutter="0" w:footer="0" w:header="0"/>
        </w:sectPr>
      </w:pPr>
    </w:p>
    <w:p>
      <w:pPr>
        <w:spacing w:after="0" w:line="151" w:lineRule="exact"/>
        <w:rPr>
          <w:sz w:val="20"/>
          <w:szCs w:val="20"/>
          <w:color w:val="auto"/>
        </w:rPr>
      </w:pPr>
    </w:p>
    <w:p>
      <w:pPr>
        <w:jc w:val="both"/>
        <w:ind w:firstLine="576"/>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Long-Term Debt. </w:t>
      </w:r>
      <w:r>
        <w:rPr>
          <w:rFonts w:ascii="Times New Roman" w:cs="Times New Roman" w:eastAsia="Times New Roman" w:hAnsi="Times New Roman"/>
          <w:sz w:val="14"/>
          <w:szCs w:val="14"/>
          <w:color w:val="auto"/>
        </w:rPr>
        <w:t>Assets. For long-term debt 12, Long-Term Debt.”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120" w:firstLine="26"/>
        <w:spacing w:after="0" w:line="331" w:lineRule="auto"/>
        <w:rPr>
          <w:sz w:val="20"/>
          <w:szCs w:val="20"/>
          <w:color w:val="auto"/>
        </w:rPr>
      </w:pPr>
      <w:r>
        <w:rPr>
          <w:rFonts w:ascii="Times New Roman" w:cs="Times New Roman" w:eastAsia="Times New Roman" w:hAnsi="Times New Roman"/>
          <w:sz w:val="14"/>
          <w:szCs w:val="14"/>
          <w:color w:val="auto"/>
        </w:rPr>
        <w:t>On March 14, 2025, we exercised our rights in full under the 2028 P-Caps to issue senior notes in exchange for Eligible information, see Item 1. “Financial Statements, Notes to Unaudited Condensed Consolidated Financial Statements, Note</w:t>
      </w:r>
    </w:p>
    <w:p>
      <w:pPr>
        <w:spacing w:after="0" w:line="283" w:lineRule="exact"/>
        <w:rPr>
          <w:sz w:val="20"/>
          <w:szCs w:val="20"/>
          <w:color w:val="auto"/>
        </w:rPr>
      </w:pPr>
    </w:p>
    <w:p>
      <w:pPr>
        <w:sectPr>
          <w:pgSz w:w="11900" w:h="16840" w:orient="portrait"/>
          <w:cols w:equalWidth="0" w:num="2">
            <w:col w:w="1700" w:space="0"/>
            <w:col w:w="7640"/>
          </w:cols>
          <w:pgMar w:left="1280" w:top="557" w:right="1280" w:bottom="1440" w:gutter="0" w:footer="0" w:header="0"/>
          <w:type w:val="continuous"/>
        </w:sectPr>
      </w:pPr>
    </w:p>
    <w:p>
      <w:pPr>
        <w:ind w:right="100" w:firstLine="57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Contingent Funding Agreements for Senior Debt Issuance. </w:t>
      </w:r>
      <w:r>
        <w:rPr>
          <w:rFonts w:ascii="Times New Roman" w:cs="Times New Roman" w:eastAsia="Times New Roman" w:hAnsi="Times New Roman"/>
          <w:sz w:val="16"/>
          <w:szCs w:val="16"/>
          <w:color w:val="auto"/>
        </w:rPr>
        <w:t>On March 6, 2025, we entered into a contingent funding agreement that gives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the right at any time over a thirty-year period to issue up to $500.0 million of senior notes.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type w:val="continuous"/>
        </w:sectPr>
      </w:pPr>
    </w:p>
    <w:bookmarkStart w:id="123" w:name="page124"/>
    <w:bookmarkEnd w:id="12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In March 2018, we entered into two contingent funding agreements that give us the right at any time over a ten-year or thirty-year period to issue up to $400.0 million or $350.0 million, respectively, of senior notes. In March 2025, we exercised our right to issue $400.0 million of senior notes under one of the agreements.</w:t>
      </w:r>
    </w:p>
    <w:p>
      <w:pPr>
        <w:spacing w:after="0" w:line="164" w:lineRule="exact"/>
        <w:rPr>
          <w:sz w:val="20"/>
          <w:szCs w:val="20"/>
          <w:color w:val="auto"/>
        </w:rPr>
      </w:pPr>
    </w:p>
    <w:p>
      <w:pPr>
        <w:ind w:right="320" w:firstLine="576"/>
        <w:spacing w:after="0" w:line="331" w:lineRule="auto"/>
        <w:rPr>
          <w:sz w:val="20"/>
          <w:szCs w:val="20"/>
          <w:color w:val="auto"/>
        </w:rPr>
      </w:pPr>
      <w:r>
        <w:rPr>
          <w:rFonts w:ascii="Times New Roman" w:cs="Times New Roman" w:eastAsia="Times New Roman" w:hAnsi="Times New Roman"/>
          <w:sz w:val="14"/>
          <w:szCs w:val="14"/>
          <w:color w:val="auto"/>
        </w:rPr>
        <w:t>For information on the contingent funding agreements, see Item 1. “Financial Statements, Notes to Unaudited Condensed Consolidated Financial Statements, Note 12, Long-Term Debt.” under the caption “Contingent Funding Agreements for Senior Debt Issuance.”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Stockholders’ Equity. </w:t>
      </w:r>
      <w:r>
        <w:rPr>
          <w:rFonts w:ascii="Times New Roman" w:cs="Times New Roman" w:eastAsia="Times New Roman" w:hAnsi="Times New Roman"/>
          <w:sz w:val="16"/>
          <w:szCs w:val="16"/>
          <w:color w:val="auto"/>
        </w:rPr>
        <w:t>The following table summarizes our return of capital to common stockholders.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0"/>
        </w:trPr>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2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340" w:type="dxa"/>
            <w:vAlign w:val="bottom"/>
          </w:tcPr>
          <w:p>
            <w:pPr>
              <w:spacing w:after="0"/>
              <w:rPr>
                <w:sz w:val="11"/>
                <w:szCs w:val="11"/>
                <w:color w:val="auto"/>
              </w:rPr>
            </w:pPr>
          </w:p>
        </w:tc>
      </w:tr>
      <w:tr>
        <w:trPr>
          <w:trHeight w:val="180"/>
        </w:trPr>
        <w:tc>
          <w:tcPr>
            <w:tcW w:w="44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to stockholders</w:t>
            </w:r>
          </w:p>
        </w:tc>
        <w:tc>
          <w:tcPr>
            <w:tcW w:w="16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169.0</w:t>
            </w:r>
          </w:p>
        </w:tc>
        <w:tc>
          <w:tcPr>
            <w:tcW w:w="360" w:type="dxa"/>
            <w:vAlign w:val="bottom"/>
            <w:gridSpan w:val="2"/>
            <w:shd w:val="clear" w:color="auto" w:fill="CCEEFF"/>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658.4</w:t>
            </w:r>
          </w:p>
        </w:tc>
      </w:tr>
      <w:tr>
        <w:trPr>
          <w:trHeight w:val="180"/>
        </w:trPr>
        <w:tc>
          <w:tcPr>
            <w:tcW w:w="44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Repurchase of common stock (1)</w:t>
            </w:r>
          </w:p>
        </w:tc>
        <w:tc>
          <w:tcPr>
            <w:tcW w:w="1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1,042.4</w:t>
            </w:r>
          </w:p>
        </w:tc>
      </w:tr>
      <w:tr>
        <w:trPr>
          <w:trHeight w:val="172"/>
        </w:trPr>
        <w:tc>
          <w:tcPr>
            <w:tcW w:w="440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cash returned to common stockholders</w:t>
            </w:r>
          </w:p>
        </w:tc>
        <w:tc>
          <w:tcPr>
            <w:tcW w:w="1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410.3</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1,700.8</w:t>
            </w:r>
          </w:p>
        </w:tc>
      </w:tr>
      <w:tr>
        <w:trPr>
          <w:trHeight w:val="20"/>
        </w:trPr>
        <w:tc>
          <w:tcPr>
            <w:tcW w:w="2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common stock utilized to execute certain stock incentive awards and shares purchased as part of publicly announced programs.</w:t>
      </w:r>
    </w:p>
    <w:p>
      <w:pPr>
        <w:spacing w:after="0" w:line="188"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In February 2024, our Board authorized a share repurchase program of up to $1.5 billion of our outstanding common stock, which has no expiration date. In February 2025, our Board authorized a share repurchase program of up to $1.5 billion of our outstanding common stock, which has no expiration date. See Part II, Item 2. “Unregistered Sales of Equity Securities and Use of Proceeds,” for information about our share repurchase authorizations. For additional stockholders’ equity information, see Item 1. “Financial Statements, Notes to Unaudited Condensed Consolidated Financial Statements, Note 16, Stockholders’ Equity.”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Capitalization</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our capital structure: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4"/>
                <w:szCs w:val="14"/>
                <w:color w:val="auto"/>
              </w:rPr>
            </w:pPr>
          </w:p>
        </w:tc>
      </w:tr>
      <w:tr>
        <w:trPr>
          <w:trHeight w:val="136"/>
        </w:trPr>
        <w:tc>
          <w:tcPr>
            <w:tcW w:w="4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gridSpan w:val="5"/>
          </w:tcPr>
          <w:p>
            <w:pPr>
              <w:ind w:left="1000"/>
              <w:spacing w:after="0" w:line="136" w:lineRule="exact"/>
              <w:rPr>
                <w:sz w:val="20"/>
                <w:szCs w:val="20"/>
                <w:color w:val="auto"/>
              </w:rPr>
            </w:pPr>
            <w:r>
              <w:rPr>
                <w:rFonts w:ascii="Times New Roman" w:cs="Times New Roman" w:eastAsia="Times New Roman" w:hAnsi="Times New Roman"/>
                <w:sz w:val="13"/>
                <w:szCs w:val="13"/>
                <w:i w:val="1"/>
                <w:iCs w:val="1"/>
                <w:color w:val="auto"/>
              </w:rPr>
              <w:t>($ in millions)</w:t>
            </w: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Debt:</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44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Short-term debt</w:t>
            </w:r>
          </w:p>
        </w:tc>
        <w:tc>
          <w:tcPr>
            <w:tcW w:w="178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28.9</w:t>
            </w: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160" w:type="dxa"/>
            <w:vAlign w:val="bottom"/>
          </w:tcPr>
          <w:p>
            <w:pPr>
              <w:spacing w:after="0"/>
              <w:rPr>
                <w:sz w:val="15"/>
                <w:szCs w:val="15"/>
                <w:color w:val="auto"/>
              </w:rPr>
            </w:pPr>
          </w:p>
        </w:tc>
      </w:tr>
      <w:tr>
        <w:trPr>
          <w:trHeight w:val="180"/>
        </w:trPr>
        <w:tc>
          <w:tcPr>
            <w:tcW w:w="44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6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4,321.3</w:t>
            </w:r>
          </w:p>
        </w:tc>
        <w:tc>
          <w:tcPr>
            <w:tcW w:w="2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3,955.3</w:t>
            </w:r>
          </w:p>
        </w:tc>
        <w:tc>
          <w:tcPr>
            <w:tcW w:w="160" w:type="dxa"/>
            <w:vAlign w:val="bottom"/>
            <w:shd w:val="clear" w:color="auto" w:fill="CCEEFF"/>
          </w:tcPr>
          <w:p>
            <w:pPr>
              <w:spacing w:after="0"/>
              <w:rPr>
                <w:sz w:val="15"/>
                <w:szCs w:val="15"/>
                <w:color w:val="auto"/>
              </w:rPr>
            </w:pPr>
          </w:p>
        </w:tc>
      </w:tr>
      <w:tr>
        <w:trPr>
          <w:trHeight w:val="172"/>
        </w:trPr>
        <w:tc>
          <w:tcPr>
            <w:tcW w:w="448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4,350.2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4,108.0</w:t>
            </w:r>
          </w:p>
        </w:tc>
        <w:tc>
          <w:tcPr>
            <w:tcW w:w="160" w:type="dxa"/>
            <w:vAlign w:val="bottom"/>
          </w:tcPr>
          <w:p>
            <w:pPr>
              <w:spacing w:after="0"/>
              <w:rPr>
                <w:sz w:val="14"/>
                <w:szCs w:val="14"/>
                <w:color w:val="auto"/>
              </w:rPr>
            </w:pPr>
          </w:p>
        </w:tc>
      </w:tr>
      <w:tr>
        <w:trPr>
          <w:trHeight w:val="180"/>
        </w:trPr>
        <w:tc>
          <w:tcPr>
            <w:tcW w:w="4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44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Total stockholders’ equity attributable to PFG</w:t>
            </w:r>
          </w:p>
        </w:tc>
        <w:tc>
          <w:tcPr>
            <w:tcW w:w="1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11,216.8</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11,086.4</w:t>
            </w:r>
          </w:p>
        </w:tc>
        <w:tc>
          <w:tcPr>
            <w:tcW w:w="160" w:type="dxa"/>
            <w:vAlign w:val="bottom"/>
            <w:tcBorders>
              <w:bottom w:val="single" w:sz="8" w:color="CCEEFF"/>
            </w:tcBorders>
          </w:tcPr>
          <w:p>
            <w:pPr>
              <w:spacing w:after="0"/>
              <w:rPr>
                <w:sz w:val="15"/>
                <w:szCs w:val="15"/>
                <w:color w:val="auto"/>
              </w:rPr>
            </w:pPr>
          </w:p>
        </w:tc>
      </w:tr>
      <w:tr>
        <w:trPr>
          <w:trHeight w:val="172"/>
        </w:trPr>
        <w:tc>
          <w:tcPr>
            <w:tcW w:w="44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capitalization</w:t>
            </w:r>
          </w:p>
        </w:tc>
        <w:tc>
          <w:tcPr>
            <w:tcW w:w="1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15,567.0</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15,194.4</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to equity</w:t>
            </w:r>
          </w:p>
        </w:tc>
        <w:tc>
          <w:tcPr>
            <w:tcW w:w="4000" w:type="dxa"/>
            <w:vAlign w:val="bottom"/>
          </w:tcPr>
          <w:p>
            <w:pPr>
              <w:jc w:val="right"/>
              <w:ind w:right="582"/>
              <w:spacing w:after="0" w:line="180" w:lineRule="exact"/>
              <w:rPr>
                <w:sz w:val="20"/>
                <w:szCs w:val="20"/>
                <w:color w:val="auto"/>
              </w:rPr>
            </w:pPr>
            <w:r>
              <w:rPr>
                <w:rFonts w:ascii="Times New Roman" w:cs="Times New Roman" w:eastAsia="Times New Roman" w:hAnsi="Times New Roman"/>
                <w:sz w:val="16"/>
                <w:szCs w:val="16"/>
                <w:b w:val="1"/>
                <w:bCs w:val="1"/>
                <w:color w:val="auto"/>
              </w:rPr>
              <w:t>39 %</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37 %</w:t>
            </w:r>
          </w:p>
        </w:tc>
      </w:tr>
      <w:tr>
        <w:trPr>
          <w:trHeight w:val="180"/>
        </w:trPr>
        <w:tc>
          <w:tcPr>
            <w:tcW w:w="4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Debt to capitalization</w:t>
            </w:r>
          </w:p>
        </w:tc>
        <w:tc>
          <w:tcPr>
            <w:tcW w:w="4000" w:type="dxa"/>
            <w:vAlign w:val="bottom"/>
            <w:shd w:val="clear" w:color="auto" w:fill="CCEEFF"/>
          </w:tcPr>
          <w:p>
            <w:pPr>
              <w:jc w:val="right"/>
              <w:ind w:right="582"/>
              <w:spacing w:after="0" w:line="180" w:lineRule="exact"/>
              <w:rPr>
                <w:sz w:val="20"/>
                <w:szCs w:val="20"/>
                <w:color w:val="auto"/>
              </w:rPr>
            </w:pPr>
            <w:r>
              <w:rPr>
                <w:rFonts w:ascii="Times New Roman" w:cs="Times New Roman" w:eastAsia="Times New Roman" w:hAnsi="Times New Roman"/>
                <w:sz w:val="16"/>
                <w:szCs w:val="16"/>
                <w:b w:val="1"/>
                <w:bCs w:val="1"/>
                <w:color w:val="auto"/>
              </w:rPr>
              <w:t>28 %</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27 %</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 and Contractual Commitments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March 31, 2025, we had no unique material cash requirements from known contractual and other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88" w:lineRule="exact"/>
        <w:rPr>
          <w:sz w:val="20"/>
          <w:szCs w:val="20"/>
          <w:color w:val="auto"/>
        </w:rPr>
      </w:pPr>
    </w:p>
    <w:p>
      <w:pPr>
        <w:jc w:val="both"/>
        <w:ind w:right="100" w:firstLine="576"/>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Variable Interest Entities. </w:t>
      </w:r>
      <w:r>
        <w:rPr>
          <w:rFonts w:ascii="Times New Roman" w:cs="Times New Roman" w:eastAsia="Times New Roman" w:hAnsi="Times New Roman"/>
          <w:sz w:val="14"/>
          <w:szCs w:val="14"/>
          <w:color w:val="auto"/>
        </w:rPr>
        <w:t>We have relationships with various types of special purpose entities and other entities where we have a variable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 as described in Item 1. “Financial Statements, Notes to Unaudited Condensed Consolidated Financial Statements, Note 3, Variable Interest Entities.” We have made commitments to fund certain limited partnerships, some of which are classified as unconsolidated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4" w:name="page125"/>
    <w:bookmarkEnd w:id="12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firstLine="576"/>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Guarantees and Indemnifications. </w:t>
      </w:r>
      <w:r>
        <w:rPr>
          <w:rFonts w:ascii="Times New Roman" w:cs="Times New Roman" w:eastAsia="Times New Roman" w:hAnsi="Times New Roman"/>
          <w:sz w:val="14"/>
          <w:szCs w:val="14"/>
          <w:color w:val="auto"/>
        </w:rPr>
        <w:t>As of March 31, 2025, no significant changes to guarantees and indemnifications have occurred since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December 31, 2024. For guarantee and indemnification information, see Item 1. “Financial Statements, Notes to Unaudited Condensed Consolidated Financial Statements, Note 15, Contingencies, Guarantees and Indemnifications” under the caption, “Guarantees and Indemnifications.”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Strength and Credit Ratings</w:t>
      </w:r>
    </w:p>
    <w:p>
      <w:pPr>
        <w:spacing w:after="0" w:line="192" w:lineRule="exact"/>
        <w:rPr>
          <w:sz w:val="20"/>
          <w:szCs w:val="20"/>
          <w:color w:val="auto"/>
        </w:rPr>
      </w:pPr>
    </w:p>
    <w:p>
      <w:pPr>
        <w:ind w:right="300" w:firstLine="576"/>
        <w:spacing w:after="0" w:line="247" w:lineRule="auto"/>
        <w:rPr>
          <w:sz w:val="20"/>
          <w:szCs w:val="20"/>
          <w:color w:val="auto"/>
        </w:rPr>
      </w:pPr>
      <w:r>
        <w:rPr>
          <w:rFonts w:ascii="Times New Roman" w:cs="Times New Roman" w:eastAsia="Times New Roman" w:hAnsi="Times New Roman"/>
          <w:sz w:val="16"/>
          <w:szCs w:val="16"/>
          <w:color w:val="auto"/>
        </w:rPr>
        <w:t>Our ratings are influenced by the relative ratings of our peers/competitors as well as many other factors including our operating and financial performance, capital levels, asset quality, liquidity, asset/liability management, overall portfolio mix, financial leverage (i.e., debt), risk exposures, operating leverage and other factors.</w:t>
      </w:r>
    </w:p>
    <w:p>
      <w:pPr>
        <w:spacing w:after="0" w:line="164" w:lineRule="exact"/>
        <w:rPr>
          <w:sz w:val="20"/>
          <w:szCs w:val="20"/>
          <w:color w:val="auto"/>
        </w:rPr>
      </w:pPr>
    </w:p>
    <w:p>
      <w:pPr>
        <w:ind w:right="180" w:firstLine="576"/>
        <w:spacing w:after="0" w:line="259" w:lineRule="auto"/>
        <w:rPr>
          <w:sz w:val="20"/>
          <w:szCs w:val="20"/>
          <w:color w:val="auto"/>
        </w:rPr>
      </w:pPr>
      <w:r>
        <w:rPr>
          <w:rFonts w:ascii="Times New Roman" w:cs="Times New Roman" w:eastAsia="Times New Roman" w:hAnsi="Times New Roman"/>
          <w:sz w:val="16"/>
          <w:szCs w:val="16"/>
          <w:color w:val="auto"/>
        </w:rPr>
        <w:t>We have had no significant changes or actions in ratings and rating outlooks that have occurred from January 1, 2025, through the date of this filing.</w:t>
      </w:r>
    </w:p>
    <w:p>
      <w:pPr>
        <w:spacing w:after="0" w:line="155" w:lineRule="exact"/>
        <w:rPr>
          <w:sz w:val="20"/>
          <w:szCs w:val="20"/>
          <w:color w:val="auto"/>
        </w:rPr>
      </w:pPr>
    </w:p>
    <w:p>
      <w:pPr>
        <w:ind w:right="28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 summarizes our significant financial strength and debt ratings from the major independent rating organizations. A rating is not a recommendation to buy, sell or hold securities. Such a rating may be subject to revision or withdrawal at any time by the assigning rating agency. Each rating should be evaluated independently of any other rating.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 Best</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Fitch</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Moody’s</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S&amp;P</w:t>
            </w:r>
          </w:p>
        </w:tc>
      </w:tr>
      <w:tr>
        <w:trPr>
          <w:trHeight w:val="172"/>
        </w:trPr>
        <w:tc>
          <w:tcPr>
            <w:tcW w:w="58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Last review date</w:t>
            </w:r>
          </w:p>
        </w:tc>
        <w:tc>
          <w:tcPr>
            <w:tcW w:w="8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March 2024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June 2024</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July 2024</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April 2024</w:t>
            </w: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outlook</w:t>
            </w: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Stable</w:t>
            </w:r>
          </w:p>
        </w:tc>
        <w:tc>
          <w:tcPr>
            <w:tcW w:w="160" w:type="dxa"/>
            <w:vAlign w:val="bottom"/>
          </w:tcPr>
          <w:p>
            <w:pPr>
              <w:spacing w:after="0"/>
              <w:rPr>
                <w:sz w:val="15"/>
                <w:szCs w:val="15"/>
                <w:color w:val="auto"/>
              </w:rPr>
            </w:pP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Stable</w:t>
            </w:r>
          </w:p>
        </w:tc>
        <w:tc>
          <w:tcPr>
            <w:tcW w:w="140" w:type="dxa"/>
            <w:vAlign w:val="bottom"/>
          </w:tcPr>
          <w:p>
            <w:pPr>
              <w:spacing w:after="0"/>
              <w:rPr>
                <w:sz w:val="15"/>
                <w:szCs w:val="15"/>
                <w:color w:val="auto"/>
              </w:rPr>
            </w:pP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Stable</w:t>
            </w:r>
          </w:p>
        </w:tc>
        <w:tc>
          <w:tcPr>
            <w:tcW w:w="16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Stable</w:t>
            </w: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Financial Group</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Senior Unsecured Debt</w:t>
            </w: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5"/>
                <w:szCs w:val="15"/>
                <w:color w:val="auto"/>
              </w:rPr>
            </w:pP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A-</w:t>
            </w:r>
          </w:p>
        </w:tc>
        <w:tc>
          <w:tcPr>
            <w:tcW w:w="140" w:type="dxa"/>
            <w:vAlign w:val="bottom"/>
          </w:tcPr>
          <w:p>
            <w:pPr>
              <w:spacing w:after="0"/>
              <w:rPr>
                <w:sz w:val="15"/>
                <w:szCs w:val="15"/>
                <w:color w:val="auto"/>
              </w:rPr>
            </w:pP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Baa1</w:t>
            </w:r>
          </w:p>
        </w:tc>
        <w:tc>
          <w:tcPr>
            <w:tcW w:w="160" w:type="dxa"/>
            <w:vAlign w:val="bottom"/>
          </w:tcPr>
          <w:p>
            <w:pPr>
              <w:spacing w:after="0"/>
              <w:rPr>
                <w:sz w:val="15"/>
                <w:szCs w:val="15"/>
                <w:color w:val="auto"/>
              </w:rPr>
            </w:pPr>
          </w:p>
        </w:tc>
        <w:tc>
          <w:tcPr>
            <w:tcW w:w="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A-</w:t>
            </w: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Long-Term Issuer Default Rating</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86"/>
              </w:rPr>
              <w:t>A</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Life Insurance Company</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Insurer Financial Strength</w:t>
            </w:r>
          </w:p>
        </w:tc>
        <w:tc>
          <w:tcPr>
            <w:tcW w:w="8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AA-</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rPr>
              <w:t>A1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w:t>
            </w: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Issuer Credit Rating</w:t>
            </w: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aa</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Paper</w:t>
            </w:r>
          </w:p>
        </w:tc>
        <w:tc>
          <w:tcPr>
            <w:tcW w:w="8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AMB</w:t>
            </w:r>
            <w:r>
              <w:rPr>
                <w:rFonts w:ascii="MS PGothic" w:cs="MS PGothic" w:eastAsia="MS PGothic" w:hAnsi="MS PGothic"/>
                <w:sz w:val="16"/>
                <w:szCs w:val="16"/>
                <w:color w:val="auto"/>
                <w:w w:val="95"/>
              </w:rPr>
              <w:t>‑</w:t>
            </w:r>
            <w:r>
              <w:rPr>
                <w:rFonts w:ascii="Times New Roman" w:cs="Times New Roman" w:eastAsia="Times New Roman" w:hAnsi="Times New Roman"/>
                <w:sz w:val="16"/>
                <w:szCs w:val="16"/>
                <w:color w:val="auto"/>
                <w:w w:val="95"/>
              </w:rPr>
              <w:t>1+</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P-1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4"/>
              </w:rPr>
              <w:t>A-1+</w:t>
            </w: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National Life Insurance Company</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Insurer Financial Strength</w:t>
            </w:r>
          </w:p>
        </w:tc>
        <w:tc>
          <w:tcPr>
            <w:tcW w:w="8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AA-</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rPr>
              <w:t>A1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A+</w:t>
            </w:r>
          </w:p>
        </w:tc>
      </w:tr>
      <w:tr>
        <w:trPr>
          <w:trHeight w:val="370"/>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69" w:lineRule="exact"/>
        <w:rPr>
          <w:sz w:val="20"/>
          <w:szCs w:val="20"/>
          <w:color w:val="auto"/>
        </w:rPr>
      </w:pPr>
    </w:p>
    <w:p>
      <w:pPr>
        <w:ind w:right="240" w:firstLine="576"/>
        <w:spacing w:after="0" w:line="278"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(an exit price). The fair value hierarchy prioritizes the inputs to valuation techniques used to measure fair value into three levels. The fair value hierarchy gives the highest priority (Level 1) to unadjusted quoted prices in active markets for identical assets or liabilities and gives the lowest priority (Level 3) to unobservable inputs. The level in the fair value hierarchy within which the fair value measurement in its entirety falls is determined based on the lowest level input that is significant to the fair value measurement in its entirety considering factors specific to the asset or liability. See Item 1. “Financial Statements, Notes to Unaudited Condensed Consolidated Financial Statements, Note 17, Fair Value Measurements” for further details, including a reconciliation of changes in Level 3 fair value measurements.</w:t>
      </w:r>
    </w:p>
    <w:p>
      <w:pPr>
        <w:spacing w:after="0" w:line="147"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As of March 31, 2025, 46% of our net assets (liabilities) were Level 1, 51% were Level 2 and 3% were Level 3. Excluding separate account assets as of March 31, 2025, 4% of our net assets (liabilities) were Level 1, 87% were Level 2 and 9% were Level 3.</w:t>
      </w:r>
    </w:p>
    <w:p>
      <w:pPr>
        <w:spacing w:after="0" w:line="155" w:lineRule="exact"/>
        <w:rPr>
          <w:sz w:val="20"/>
          <w:szCs w:val="20"/>
          <w:color w:val="auto"/>
        </w:rPr>
      </w:pPr>
    </w:p>
    <w:p>
      <w:pPr>
        <w:ind w:right="320" w:firstLine="576"/>
        <w:spacing w:after="0" w:line="259" w:lineRule="auto"/>
        <w:rPr>
          <w:sz w:val="20"/>
          <w:szCs w:val="20"/>
          <w:color w:val="auto"/>
        </w:rPr>
      </w:pPr>
      <w:r>
        <w:rPr>
          <w:rFonts w:ascii="Times New Roman" w:cs="Times New Roman" w:eastAsia="Times New Roman" w:hAnsi="Times New Roman"/>
          <w:sz w:val="16"/>
          <w:szCs w:val="16"/>
          <w:color w:val="auto"/>
        </w:rPr>
        <w:t>As of December 31, 2024, 47% of our net assets (liabilities) were Level 1, 50% were Level 2 and 3% were Level 3. Excluding separate account assets as of December 31, 2024, 4% of our net assets (liabilities) were Level 1, 87% were Level 2 and 9% were Level 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5" w:name="page126"/>
    <w:bookmarkEnd w:id="12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Level 3 Fair Value Measurements</w:t>
      </w:r>
    </w:p>
    <w:p>
      <w:pPr>
        <w:spacing w:after="0" w:line="192"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Net assets (liabilities) measured at fair value on a recurring basis using significant unobservable inputs (Level 3) as of March 31, 2025, were $7,736.7 million as compared to $8,046.3 million as of December 31, 2024. The decrease was primarily related to a decrease in the funds withheld payable embedded derivative net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190"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We had total consolidated assets as of March 31, 2025, of $313,003.3 million, of which $105,294.6 million were invested assets. A portion of our invested assets represent funds withheld backing reserves as part of coinsurance with funds withheld reinsurance agreements. The funds withheld assets and associated net investment income and net realized capital gains (losses) are not included in the discussions below as the investment risk is passed to the reinsurer. See Item 1. “Financial Statements, Notes to Unaudited Condensed Consolidated Financial Statements, Note 11, Reinsurance” for more information on the funds withheld assets. The rest of our total consolidated assets are comprised primarily of separate account assets for which we do not bear investment risk; therefore, the discussion and financial information below does not include such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Overall Composition of Invested Assets</w:t>
      </w:r>
    </w:p>
    <w:p>
      <w:pPr>
        <w:spacing w:after="0" w:line="190"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6"/>
          <w:szCs w:val="16"/>
          <w:color w:val="auto"/>
        </w:rPr>
        <w:t>Invested assets as of March 31, 2025, were predominantly high quality and broadly diversified across asset class, individual credit, industry and geographic location. Asset allocation is determined based on cash flow and the risk/return requirements of our products. As shown in the following table, the major categories of invested assets are fixed maturities and mortgage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excluding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Funds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funds withheld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withheld</w:t>
            </w:r>
          </w:p>
        </w:tc>
        <w:tc>
          <w:tcPr>
            <w:tcW w:w="180" w:type="dxa"/>
            <w:vAlign w:val="bottom"/>
          </w:tcPr>
          <w:p>
            <w:pPr>
              <w:spacing w:after="0"/>
              <w:rPr>
                <w:sz w:val="14"/>
                <w:szCs w:val="14"/>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29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57,252.3</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13,781.6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71,033.9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2,428.6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18,134.7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2,125.9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20,260.6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875.7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875.7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6,959.0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1,256.4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8,215.4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w:t>
            </w:r>
          </w:p>
        </w:tc>
        <w:tc>
          <w:tcPr>
            <w:tcW w:w="2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88,130.4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17,164.2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105,294.6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2,738.7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1,137.0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3,875.7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 and cash</w:t>
            </w:r>
          </w:p>
        </w:tc>
        <w:tc>
          <w:tcPr>
            <w:tcW w:w="2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90,869.1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18,301.2</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109,170.3</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excluding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Funds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funds withheld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withheld</w:t>
            </w:r>
          </w:p>
        </w:tc>
        <w:tc>
          <w:tcPr>
            <w:tcW w:w="180" w:type="dxa"/>
            <w:vAlign w:val="bottom"/>
          </w:tcPr>
          <w:p>
            <w:pPr>
              <w:spacing w:after="0"/>
              <w:rPr>
                <w:sz w:val="14"/>
                <w:szCs w:val="14"/>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29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55,455.3</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13,819.0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69,274.3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2,294.7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18,271.8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2,212.4</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20,484.2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2,464.5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2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867.5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867.5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6,847.5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1,142.8</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7,990.3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w:t>
            </w:r>
          </w:p>
        </w:tc>
        <w:tc>
          <w:tcPr>
            <w:tcW w:w="2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86,201.3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17,174.5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103,375.8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3,131.8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1,080.1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4,211.9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 and cash</w:t>
            </w:r>
          </w:p>
        </w:tc>
        <w:tc>
          <w:tcPr>
            <w:tcW w:w="2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89,333.1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18,254.6</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107,587.7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900" w:type="dxa"/>
            <w:vAlign w:val="bottom"/>
            <w:vMerge w:val="restart"/>
          </w:tcPr>
          <w:p>
            <w:pPr>
              <w:jc w:val="right"/>
              <w:ind w:right="1302"/>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2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340"/>
          </w:cols>
          <w:pgMar w:left="1280" w:top="557" w:right="1280" w:bottom="1440" w:gutter="0" w:footer="0" w:header="0"/>
        </w:sectPr>
      </w:pPr>
    </w:p>
    <w:bookmarkStart w:id="126" w:name="page127"/>
    <w:bookmarkEnd w:id="126"/>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Investment Results</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Net Investment Income</w:t>
      </w:r>
    </w:p>
    <w:p>
      <w:pPr>
        <w:spacing w:after="0" w:line="144" w:lineRule="exact"/>
        <w:rPr>
          <w:sz w:val="20"/>
          <w:szCs w:val="20"/>
          <w:color w:val="auto"/>
        </w:rPr>
      </w:pPr>
    </w:p>
    <w:p>
      <w:pPr>
        <w:jc w:val="both"/>
        <w:ind w:left="2" w:right="4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 presents the yield and investment income, excluding net realized capital gains and losses, for our invested assets for the periods indicated. We calculate annualized yields using a simple average of asset classes at the beginning and end of the reporting period. The yields for available-for-sale fixed maturities are calculated using amortized cost. All other yields are calculated using carrying amounts.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4760" w:type="dxa"/>
            <w:vAlign w:val="bottom"/>
          </w:tcPr>
          <w:p>
            <w:pPr>
              <w:spacing w:after="0"/>
              <w:rPr>
                <w:sz w:val="12"/>
                <w:szCs w:val="12"/>
                <w:color w:val="auto"/>
              </w:rPr>
            </w:pPr>
          </w:p>
        </w:tc>
        <w:tc>
          <w:tcPr>
            <w:tcW w:w="880" w:type="dxa"/>
            <w:vAlign w:val="bottom"/>
            <w:tcBorders>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bottom w:val="single" w:sz="8" w:color="auto"/>
            </w:tcBorders>
            <w:gridSpan w:val="5"/>
          </w:tcPr>
          <w:p>
            <w:pPr>
              <w:jc w:val="right"/>
              <w:ind w:right="83"/>
              <w:spacing w:after="0" w:line="14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0" w:type="dxa"/>
            <w:vAlign w:val="bottom"/>
          </w:tcPr>
          <w:p>
            <w:pPr>
              <w:spacing w:after="0"/>
              <w:rPr>
                <w:sz w:val="12"/>
                <w:szCs w:val="12"/>
                <w:color w:val="auto"/>
              </w:rPr>
            </w:pPr>
          </w:p>
        </w:tc>
      </w:tr>
      <w:tr>
        <w:trPr>
          <w:trHeight w:val="148"/>
        </w:trPr>
        <w:tc>
          <w:tcPr>
            <w:tcW w:w="4760" w:type="dxa"/>
            <w:vAlign w:val="bottom"/>
          </w:tcPr>
          <w:p>
            <w:pPr>
              <w:spacing w:after="0"/>
              <w:rPr>
                <w:sz w:val="12"/>
                <w:szCs w:val="12"/>
                <w:color w:val="auto"/>
              </w:rPr>
            </w:pPr>
          </w:p>
        </w:tc>
        <w:tc>
          <w:tcPr>
            <w:tcW w:w="540" w:type="dxa"/>
            <w:vAlign w:val="bottom"/>
            <w:tcBorders>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rPr>
              <w:t>Yield</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28"/>
              <w:spacing w:after="0" w:line="148" w:lineRule="exact"/>
              <w:rPr>
                <w:sz w:val="20"/>
                <w:szCs w:val="20"/>
                <w:color w:val="auto"/>
              </w:rPr>
            </w:pPr>
            <w:r>
              <w:rPr>
                <w:rFonts w:ascii="Times New Roman" w:cs="Times New Roman" w:eastAsia="Times New Roman" w:hAnsi="Times New Roman"/>
                <w:sz w:val="13"/>
                <w:szCs w:val="13"/>
                <w:b w:val="1"/>
                <w:bCs w:val="1"/>
                <w:color w:val="auto"/>
              </w:rPr>
              <w:t>Yield</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3"/>
              <w:spacing w:after="0" w:line="14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27"/>
              <w:spacing w:after="0" w:line="148" w:lineRule="exact"/>
              <w:rPr>
                <w:sz w:val="20"/>
                <w:szCs w:val="20"/>
                <w:color w:val="auto"/>
              </w:rPr>
            </w:pPr>
            <w:r>
              <w:rPr>
                <w:rFonts w:ascii="Times New Roman" w:cs="Times New Roman" w:eastAsia="Times New Roman" w:hAnsi="Times New Roman"/>
                <w:sz w:val="13"/>
                <w:szCs w:val="13"/>
                <w:b w:val="1"/>
                <w:bCs w:val="1"/>
                <w:color w:val="auto"/>
              </w:rPr>
              <w:t>Yield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line="14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2"/>
                <w:szCs w:val="12"/>
                <w:color w:val="auto"/>
              </w:rPr>
            </w:pPr>
          </w:p>
        </w:tc>
      </w:tr>
      <w:tr>
        <w:trPr>
          <w:trHeight w:val="136"/>
        </w:trPr>
        <w:tc>
          <w:tcPr>
            <w:tcW w:w="4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right"/>
              <w:ind w:right="323"/>
              <w:spacing w:after="0" w:line="136" w:lineRule="exact"/>
              <w:rPr>
                <w:sz w:val="20"/>
                <w:szCs w:val="20"/>
                <w:color w:val="auto"/>
              </w:rPr>
            </w:pPr>
            <w:r>
              <w:rPr>
                <w:rFonts w:ascii="Times New Roman" w:cs="Times New Roman" w:eastAsia="Times New Roman" w:hAnsi="Times New Roman"/>
                <w:sz w:val="13"/>
                <w:szCs w:val="13"/>
                <w:i w:val="1"/>
                <w:iCs w:val="1"/>
                <w:color w:val="auto"/>
              </w:rPr>
              <w:t>($ in millions)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78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5.1 %</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760.3</w:t>
            </w: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CEEFF"/>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640.3</w:t>
            </w:r>
          </w:p>
        </w:tc>
        <w:tc>
          <w:tcPr>
            <w:tcW w:w="8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0.4 %</w:t>
            </w: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20" w:type="dxa"/>
            <w:vAlign w:val="bottom"/>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40.0</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84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 – commercial</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161.6</w:t>
            </w: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148.6</w:t>
            </w:r>
          </w:p>
        </w:tc>
        <w:tc>
          <w:tcPr>
            <w:tcW w:w="6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13.0</w:t>
            </w:r>
          </w:p>
        </w:tc>
        <w:tc>
          <w:tcPr>
            <w:tcW w:w="20" w:type="dxa"/>
            <w:vAlign w:val="bottom"/>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loans – residential</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57.5</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46.0</w:t>
            </w: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41.9</w:t>
            </w: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43.1</w:t>
            </w:r>
          </w:p>
        </w:tc>
        <w:tc>
          <w:tcPr>
            <w:tcW w:w="840" w:type="dxa"/>
            <w:vAlign w:val="bottom"/>
            <w:gridSpan w:val="3"/>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11.3</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84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50.9</w:t>
            </w: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74.2</w:t>
            </w:r>
          </w:p>
        </w:tc>
        <w:tc>
          <w:tcPr>
            <w:tcW w:w="840" w:type="dxa"/>
            <w:vAlign w:val="bottom"/>
            <w:gridSpan w:val="3"/>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20" w:type="dxa"/>
            <w:vAlign w:val="bottom"/>
          </w:tcPr>
          <w:p>
            <w:pPr>
              <w:spacing w:after="0"/>
              <w:rPr>
                <w:sz w:val="15"/>
                <w:szCs w:val="15"/>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104.3</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138.6</w:t>
            </w:r>
          </w:p>
        </w:tc>
        <w:tc>
          <w:tcPr>
            <w:tcW w:w="84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20" w:type="dxa"/>
            <w:vAlign w:val="bottom"/>
          </w:tcPr>
          <w:p>
            <w:pPr>
              <w:spacing w:after="0"/>
              <w:rPr>
                <w:sz w:val="15"/>
                <w:szCs w:val="15"/>
                <w:color w:val="auto"/>
              </w:rPr>
            </w:pPr>
          </w:p>
        </w:tc>
      </w:tr>
      <w:tr>
        <w:trPr>
          <w:trHeight w:val="172"/>
        </w:trPr>
        <w:tc>
          <w:tcPr>
            <w:tcW w:w="4760" w:type="dxa"/>
            <w:vAlign w:val="bottom"/>
            <w:tcBorders>
              <w:top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1,227.8</w:t>
            </w: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1,134.5</w:t>
            </w: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93.3</w:t>
            </w:r>
          </w:p>
        </w:tc>
        <w:tc>
          <w:tcPr>
            <w:tcW w:w="20" w:type="dxa"/>
            <w:vAlign w:val="bottom"/>
          </w:tcPr>
          <w:p>
            <w:pPr>
              <w:spacing w:after="0"/>
              <w:rPr>
                <w:sz w:val="14"/>
                <w:szCs w:val="14"/>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expenses</w:t>
            </w:r>
          </w:p>
        </w:tc>
        <w:tc>
          <w:tcPr>
            <w:tcW w:w="78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(62.1)</w:t>
            </w: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(62.3)</w:t>
            </w:r>
          </w:p>
        </w:tc>
        <w:tc>
          <w:tcPr>
            <w:tcW w:w="140" w:type="dxa"/>
            <w:vAlign w:val="bottom"/>
          </w:tcPr>
          <w:p>
            <w:pPr>
              <w:spacing w:after="0"/>
              <w:rPr>
                <w:sz w:val="15"/>
                <w:szCs w:val="15"/>
                <w:color w:val="auto"/>
              </w:rPr>
            </w:pPr>
          </w:p>
        </w:tc>
        <w:tc>
          <w:tcPr>
            <w:tcW w:w="70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5"/>
                <w:szCs w:val="15"/>
                <w:color w:val="auto"/>
              </w:rPr>
            </w:pPr>
          </w:p>
        </w:tc>
      </w:tr>
      <w:tr>
        <w:trPr>
          <w:trHeight w:val="172"/>
        </w:trPr>
        <w:tc>
          <w:tcPr>
            <w:tcW w:w="476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investment income</w:t>
            </w:r>
          </w:p>
        </w:tc>
        <w:tc>
          <w:tcPr>
            <w:tcW w:w="5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5.0</w:t>
            </w:r>
          </w:p>
        </w:tc>
        <w:tc>
          <w:tcPr>
            <w:tcW w:w="240" w:type="dxa"/>
            <w:vAlign w:val="bottom"/>
            <w:tcBorders>
              <w:top w:val="single" w:sz="8" w:color="CCEEFF"/>
              <w:bottom w:val="single" w:sz="8" w:color="CCEEFF"/>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1,165.7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w:t>
            </w:r>
          </w:p>
        </w:tc>
        <w:tc>
          <w:tcPr>
            <w:tcW w:w="240" w:type="dxa"/>
            <w:vAlign w:val="bottom"/>
            <w:tcBorders>
              <w:top w:val="single" w:sz="8" w:color="CCEEFF"/>
              <w:bottom w:val="single" w:sz="8" w:color="CCEEFF"/>
            </w:tcBorders>
            <w:shd w:val="clear" w:color="auto" w:fill="CCEEFF"/>
          </w:tcPr>
          <w:p>
            <w:pPr>
              <w:jc w:val="right"/>
              <w:ind w:right="26"/>
              <w:spacing w:after="0" w:line="172"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1,072.2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93.5</w:t>
            </w:r>
          </w:p>
        </w:tc>
        <w:tc>
          <w:tcPr>
            <w:tcW w:w="2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4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Net investment income increased primarily due to higher average invested assets and yields in fixed maturities for our U.S. operations.</w:t>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These increases were partially offset by lower income in other investments, particularly related to hedge funds for our U.S. operations.</w:t>
      </w:r>
    </w:p>
    <w:p>
      <w:pPr>
        <w:spacing w:after="0" w:line="1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Net Realized Capital Gains (Losses)</w:t>
      </w:r>
    </w:p>
    <w:p>
      <w:pPr>
        <w:spacing w:after="0" w:line="144" w:lineRule="exact"/>
        <w:rPr>
          <w:sz w:val="20"/>
          <w:szCs w:val="20"/>
          <w:color w:val="auto"/>
        </w:rPr>
      </w:pPr>
    </w:p>
    <w:p>
      <w:pPr>
        <w:ind w:left="2" w:right="24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 presents the contributors to net realized capital gains and losses for the periods indicated. The amounts below do not include net realized capital gains (losses) on funds withheld assets that are not passed to the reinsurer, which are separately reported on the consolidated statements of operations.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9"/>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34"/>
        </w:trPr>
        <w:tc>
          <w:tcPr>
            <w:tcW w:w="23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5"/>
              <w:spacing w:after="0" w:line="134"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(decrease)</w:t>
            </w:r>
          </w:p>
        </w:tc>
      </w:tr>
      <w:tr>
        <w:trPr>
          <w:trHeight w:val="136"/>
        </w:trPr>
        <w:tc>
          <w:tcPr>
            <w:tcW w:w="23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6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 credit losses, including credit sales (1)</w:t>
            </w:r>
          </w:p>
        </w:tc>
        <w:tc>
          <w:tcPr>
            <w:tcW w:w="2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(5.0)</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5"/>
                <w:szCs w:val="15"/>
                <w:color w:val="auto"/>
              </w:rPr>
            </w:pPr>
          </w:p>
        </w:tc>
      </w:tr>
      <w:tr>
        <w:trPr>
          <w:trHeight w:val="180"/>
        </w:trPr>
        <w:tc>
          <w:tcPr>
            <w:tcW w:w="6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 loans – credit gains (losses)</w:t>
            </w:r>
          </w:p>
        </w:tc>
        <w:tc>
          <w:tcPr>
            <w:tcW w:w="2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5"/>
                <w:szCs w:val="15"/>
                <w:color w:val="auto"/>
              </w:rPr>
            </w:pPr>
          </w:p>
        </w:tc>
      </w:tr>
      <w:tr>
        <w:trPr>
          <w:trHeight w:val="180"/>
        </w:trPr>
        <w:tc>
          <w:tcPr>
            <w:tcW w:w="6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 credit losses</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5"/>
                <w:szCs w:val="15"/>
                <w:color w:val="auto"/>
              </w:rPr>
            </w:pPr>
          </w:p>
        </w:tc>
      </w:tr>
      <w:tr>
        <w:trPr>
          <w:trHeight w:val="180"/>
        </w:trPr>
        <w:tc>
          <w:tcPr>
            <w:tcW w:w="6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and trading – noncredit</w:t>
            </w:r>
          </w:p>
        </w:tc>
        <w:tc>
          <w:tcPr>
            <w:tcW w:w="2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15"/>
                <w:szCs w:val="15"/>
                <w:color w:val="auto"/>
              </w:rPr>
            </w:pPr>
          </w:p>
        </w:tc>
      </w:tr>
      <w:tr>
        <w:trPr>
          <w:trHeight w:val="180"/>
        </w:trPr>
        <w:tc>
          <w:tcPr>
            <w:tcW w:w="6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Derivatives and related hedge activities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65.8</w:t>
            </w:r>
          </w:p>
        </w:tc>
        <w:tc>
          <w:tcPr>
            <w:tcW w:w="20" w:type="dxa"/>
            <w:vAlign w:val="bottom"/>
          </w:tcPr>
          <w:p>
            <w:pPr>
              <w:spacing w:after="0"/>
              <w:rPr>
                <w:sz w:val="15"/>
                <w:szCs w:val="15"/>
                <w:color w:val="auto"/>
              </w:rPr>
            </w:pPr>
          </w:p>
        </w:tc>
      </w:tr>
      <w:tr>
        <w:trPr>
          <w:trHeight w:val="180"/>
        </w:trPr>
        <w:tc>
          <w:tcPr>
            <w:tcW w:w="6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gains (losses)</w:t>
            </w:r>
          </w:p>
        </w:tc>
        <w:tc>
          <w:tcPr>
            <w:tcW w:w="200" w:type="dxa"/>
            <w:vAlign w:val="bottom"/>
          </w:tcPr>
          <w:p>
            <w:pPr>
              <w:spacing w:after="0"/>
              <w:rPr>
                <w:sz w:val="15"/>
                <w:szCs w:val="15"/>
                <w:color w:val="auto"/>
              </w:rPr>
            </w:pPr>
          </w:p>
        </w:tc>
        <w:tc>
          <w:tcPr>
            <w:tcW w:w="7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(107.8)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(173.3)</w:t>
            </w:r>
          </w:p>
        </w:tc>
        <w:tc>
          <w:tcPr>
            <w:tcW w:w="20" w:type="dxa"/>
            <w:vAlign w:val="bottom"/>
          </w:tcPr>
          <w:p>
            <w:pPr>
              <w:spacing w:after="0"/>
              <w:rPr>
                <w:sz w:val="15"/>
                <w:szCs w:val="15"/>
                <w:color w:val="auto"/>
              </w:rPr>
            </w:pPr>
          </w:p>
        </w:tc>
      </w:tr>
      <w:tr>
        <w:trPr>
          <w:trHeight w:val="172"/>
        </w:trPr>
        <w:tc>
          <w:tcPr>
            <w:tcW w:w="6280" w:type="dxa"/>
            <w:vAlign w:val="bottom"/>
            <w:tcBorders>
              <w:top w:val="single" w:sz="8" w:color="CCEEFF"/>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realized capital losses (2)</w:t>
            </w:r>
          </w:p>
        </w:tc>
        <w:tc>
          <w:tcPr>
            <w:tcW w:w="200" w:type="dxa"/>
            <w:vAlign w:val="bottom"/>
            <w:tcBorders>
              <w:top w:val="single" w:sz="8" w:color="auto"/>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(117.1)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(116.2)</w:t>
            </w:r>
          </w:p>
        </w:tc>
        <w:tc>
          <w:tcPr>
            <w:tcW w:w="20" w:type="dxa"/>
            <w:vAlign w:val="bottom"/>
          </w:tcPr>
          <w:p>
            <w:pPr>
              <w:spacing w:after="0"/>
              <w:rPr>
                <w:sz w:val="14"/>
                <w:szCs w:val="14"/>
                <w:color w:val="auto"/>
              </w:rPr>
            </w:pPr>
          </w:p>
        </w:tc>
      </w:tr>
      <w:tr>
        <w:trPr>
          <w:trHeight w:val="20"/>
        </w:trPr>
        <w:tc>
          <w:tcPr>
            <w:tcW w:w="2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59" w:lineRule="exact"/>
        <w:rPr>
          <w:sz w:val="20"/>
          <w:szCs w:val="20"/>
          <w:color w:val="auto"/>
        </w:rPr>
      </w:pPr>
    </w:p>
    <w:p>
      <w:pPr>
        <w:ind w:left="282" w:hanging="282"/>
        <w:spacing w:after="0"/>
        <w:tabs>
          <w:tab w:leader="none" w:pos="28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credit sales, adjustments to the credit loss valuation allowance, write-offs and recoveries on available-for-sale securities.</w:t>
      </w:r>
    </w:p>
    <w:p>
      <w:pPr>
        <w:spacing w:after="0" w:line="14" w:lineRule="exact"/>
        <w:rPr>
          <w:rFonts w:ascii="Times New Roman" w:cs="Times New Roman" w:eastAsia="Times New Roman" w:hAnsi="Times New Roman"/>
          <w:sz w:val="16"/>
          <w:szCs w:val="16"/>
          <w:color w:val="auto"/>
        </w:rPr>
      </w:pPr>
    </w:p>
    <w:p>
      <w:pPr>
        <w:ind w:left="282" w:right="40" w:hanging="282"/>
        <w:spacing w:after="0" w:line="238" w:lineRule="auto"/>
        <w:tabs>
          <w:tab w:leader="none" w:pos="28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realized capital gains (losses) can be volatile due to credit losses from invested assets, mark-to-market adjustments of certain invested assets and our decision to sell invested assets.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27" w:name="page128"/>
    <w:bookmarkEnd w:id="12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2025 Compared to Three Months Ended March 31, 2024</w:t>
      </w:r>
    </w:p>
    <w:p>
      <w:pPr>
        <w:spacing w:after="0" w:line="192"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Net realized capital losses increased primarily due to a held-for-sale write-down of an intangible asset in 2025, increased non-credit losses on available-for-sale fixed maturities and increased losses on non-hedged interest rate derivatives due to changes in interest rates. These increases were partially offset by gains versus losses on currency derivatives, increased gains on GMWB/RILA activities and gains versus losses on commercial mortgage loan reserve changes.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Investment Operations</w:t>
      </w:r>
    </w:p>
    <w:p>
      <w:pPr>
        <w:spacing w:after="0" w:line="190"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6"/>
          <w:szCs w:val="16"/>
          <w:color w:val="auto"/>
        </w:rPr>
        <w:t>In the following sections, we provide details about U.S. Investment Operations, excluding investments held as part of coinsurance with funds withheld agreements. We believe the details of the composition of our investment portfolio excluding the funds withheld are most relevant to an understanding of our operations that are pertinent to investors because all funds withheld assets support obligations and liabilities relating to reinsurance agreements. Guidelines are in place to ensure the investment risk associated with these fund withheld assets are appropriately managed. See Note 11, Reinsurance, for further information on the funds withheld assets.</w:t>
      </w:r>
    </w:p>
    <w:p>
      <w:pPr>
        <w:spacing w:after="0" w:line="169" w:lineRule="exact"/>
        <w:rPr>
          <w:sz w:val="20"/>
          <w:szCs w:val="20"/>
          <w:color w:val="auto"/>
        </w:rPr>
      </w:pPr>
    </w:p>
    <w:p>
      <w:pPr>
        <w:ind w:right="280" w:firstLine="576"/>
        <w:spacing w:after="0" w:line="239" w:lineRule="auto"/>
        <w:rPr>
          <w:sz w:val="20"/>
          <w:szCs w:val="20"/>
          <w:color w:val="auto"/>
        </w:rPr>
      </w:pPr>
      <w:r>
        <w:rPr>
          <w:rFonts w:ascii="Times New Roman" w:cs="Times New Roman" w:eastAsia="Times New Roman" w:hAnsi="Times New Roman"/>
          <w:sz w:val="16"/>
          <w:szCs w:val="16"/>
          <w:color w:val="auto"/>
        </w:rPr>
        <w:t>Of our invested assets, $81,720.7 million were held by our U.S. operations as of March 31, 2025. Our U.S. invested assets are managed primarily by Principal Asset Management–Investment Management. Our Investment Committee, appointed by our Board, is responsible for establishing investment policies and monitoring risk limits and tolerances. Our primary investment objective is to maximize after-tax returns consistent with acceptable risk parameters. We seek to protect customers’ benefits by optimizing the risk/return relationship on an ongoing basis, through asset/liability matching, reducing credit risk, avoiding high levels of investments that may be redeemed by the issuer, maintaining sufficiently liquid investments and avoiding undue asset concentrations through diversification. We are exposed to two primary sources of investment risk:</w:t>
      </w:r>
    </w:p>
    <w:p>
      <w:pPr>
        <w:spacing w:after="0" w:line="122" w:lineRule="exact"/>
        <w:rPr>
          <w:sz w:val="20"/>
          <w:szCs w:val="20"/>
          <w:color w:val="auto"/>
        </w:rPr>
      </w:pPr>
    </w:p>
    <w:p>
      <w:pPr>
        <w:ind w:left="860" w:right="360" w:hanging="286"/>
        <w:spacing w:after="0" w:line="246" w:lineRule="auto"/>
        <w:tabs>
          <w:tab w:leader="none" w:pos="8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 relating to the uncertainty associated with the continued ability of an obligor to make timely payments of principal and interest and</w:t>
      </w:r>
    </w:p>
    <w:p>
      <w:pPr>
        <w:ind w:left="860" w:hanging="286"/>
        <w:spacing w:after="0"/>
        <w:tabs>
          <w:tab w:leader="none" w:pos="8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risk, relating to the market price and/or cash flow variability associated with changes in market yield curves.</w:t>
      </w:r>
    </w:p>
    <w:p>
      <w:pPr>
        <w:spacing w:after="0" w:line="134"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Our ability to manage credit risk is essential to our business and our profitability. We devote considerable resources to the credit analysis of each new investment. We manage credit risk through industry, issuer and asset class diversification.</w:t>
      </w:r>
    </w:p>
    <w:p>
      <w:pPr>
        <w:spacing w:after="0" w:line="107"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A dedicated committee, comprised of senior investment professional staff members, approves the credit rating for the fixed maturities we purchase. We have teams of security analysts, organized by industry and asset class, that analyze and monitor these investments. Investments held in the portfolio are monitored on a continuous basis with a formal review annually or more frequently if material events affect the issuer. The analysis includes both fundamental and technical factors. The fundamental analysis encompasses both quantitative and qualitative analysis of the issuer. The qualitative analysis includes an assessment of both accounting and management aggressiveness of the issuer. In addition, technical indicators such as stock price volatility and credit default swap levels are monitored. We regularly review our investments to determine whether we should re-rate them, employing the following criteria:</w:t>
      </w:r>
    </w:p>
    <w:p>
      <w:pPr>
        <w:spacing w:after="0" w:line="122" w:lineRule="exact"/>
        <w:rPr>
          <w:sz w:val="20"/>
          <w:szCs w:val="20"/>
          <w:color w:val="auto"/>
        </w:rPr>
      </w:pPr>
    </w:p>
    <w:p>
      <w:pPr>
        <w:ind w:left="860" w:hanging="286"/>
        <w:spacing w:after="0"/>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changes in the issuer’s revenues, margins, capital structure or collateral values;</w:t>
      </w:r>
    </w:p>
    <w:p>
      <w:pPr>
        <w:spacing w:after="0" w:line="14"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management or organizational changes;</w:t>
      </w:r>
    </w:p>
    <w:p>
      <w:pPr>
        <w:ind w:left="860" w:hanging="286"/>
        <w:spacing w:after="0" w:line="234" w:lineRule="auto"/>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changes regarding the issuer’s industry;</w:t>
      </w:r>
    </w:p>
    <w:p>
      <w:pPr>
        <w:ind w:left="860" w:hanging="286"/>
        <w:spacing w:after="0" w:line="234" w:lineRule="auto"/>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service coverage or cash flow ratios that fall below industry-specific thresholds;</w:t>
      </w:r>
    </w:p>
    <w:p>
      <w:pPr>
        <w:ind w:left="860" w:hanging="286"/>
        <w:spacing w:after="0" w:line="234" w:lineRule="auto"/>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violation of financial covenants and</w:t>
      </w:r>
    </w:p>
    <w:p>
      <w:pPr>
        <w:ind w:left="860" w:hanging="286"/>
        <w:spacing w:after="0"/>
        <w:tabs>
          <w:tab w:leader="none" w:pos="8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business factors that relate to the issuer.</w:t>
      </w:r>
    </w:p>
    <w:p>
      <w:pPr>
        <w:spacing w:after="0" w:line="134"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We purchase credit default swaps to hedge certain credit exposures in our investment portfolio. We economically hedged credit exposure in our portfolio by purchasing credit default swaps with a notional amount of $155.0 million as of both March 31, 2025 and December 31, 2024. We sell credit default swaps and total return swaps to offer credit protection to investors when entering into synthetic replicating transactions. When selling credit protection, if there is an event of default by the referenced name, we are obligated to pay the counterparty the referenced amount of the contract and receive in return the referenced security. When selling total return swaps, if there is an event of default by the referenced name, we are obligated to compensate the protection buyer for any decline in the price of the referenced security. For further information on credit derivatives sold, see Item 1. “Financial Statements, Notes to Unaudited Condensed Consolidated Financial Statements, Note 5, Derivative Financial Instruments” under the caption, “Credit Derivatives Sold.”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8" w:name="page129"/>
    <w:bookmarkEnd w:id="12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use of derivatives exposes us to counterparty risk, or the risk that the counterparty fails to perform the terms of the derivative contract.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actively manage this risk by:</w:t>
      </w:r>
    </w:p>
    <w:p>
      <w:pPr>
        <w:spacing w:after="0" w:line="134" w:lineRule="exact"/>
        <w:rPr>
          <w:sz w:val="20"/>
          <w:szCs w:val="20"/>
          <w:color w:val="auto"/>
        </w:rPr>
      </w:pPr>
    </w:p>
    <w:p>
      <w:pPr>
        <w:ind w:left="860" w:hanging="286"/>
        <w:spacing w:after="0"/>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approval of all new counterparties by the Investment Committee;</w:t>
      </w:r>
    </w:p>
    <w:p>
      <w:pPr>
        <w:spacing w:after="0" w:line="14" w:lineRule="exact"/>
        <w:rPr>
          <w:rFonts w:ascii="Times New Roman" w:cs="Times New Roman" w:eastAsia="Times New Roman" w:hAnsi="Times New Roman"/>
          <w:sz w:val="16"/>
          <w:szCs w:val="16"/>
          <w:color w:val="auto"/>
        </w:rPr>
      </w:pPr>
    </w:p>
    <w:p>
      <w:pPr>
        <w:ind w:left="860" w:right="58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exposure limits that take into account non-derivative exposure we have with the counterparty as well as derivative exposure;</w:t>
      </w:r>
    </w:p>
    <w:p>
      <w:pPr>
        <w:spacing w:after="0" w:line="1" w:lineRule="exact"/>
        <w:rPr>
          <w:rFonts w:ascii="Times New Roman" w:cs="Times New Roman" w:eastAsia="Times New Roman" w:hAnsi="Times New Roman"/>
          <w:sz w:val="16"/>
          <w:szCs w:val="16"/>
          <w:color w:val="auto"/>
        </w:rPr>
      </w:pPr>
    </w:p>
    <w:p>
      <w:pPr>
        <w:ind w:left="860" w:right="22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similar credit analysis prior to approval on each derivatives counterparty that we do when lending money on a long-term basis;</w:t>
      </w:r>
    </w:p>
    <w:p>
      <w:pPr>
        <w:spacing w:after="0" w:line="1"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diversifying our risk across numerous approved counterparties;</w:t>
      </w:r>
    </w:p>
    <w:p>
      <w:pPr>
        <w:ind w:left="860" w:right="4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credit support annex (collateral) agreements (“CSAs”) for over-the-counter derivative transactions or similar agreements with a majority of our counterparties to further limit counterparty exposures, which provide for netting of exposures;</w:t>
      </w:r>
    </w:p>
    <w:p>
      <w:pPr>
        <w:spacing w:after="0" w:line="1"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exposure to A credit or better for over-the-counter derivative counterparties without CSAs;</w:t>
      </w:r>
    </w:p>
    <w:p>
      <w:pPr>
        <w:ind w:left="86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stress-test analysis to determine the maximum exposure created during the life of a prospective transaction;</w:t>
      </w:r>
    </w:p>
    <w:p>
      <w:pPr>
        <w:ind w:left="860" w:hanging="286"/>
        <w:spacing w:after="0" w:line="234" w:lineRule="auto"/>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monitoring of counterparty credit ratings, exposures and associated collateral levels and</w:t>
      </w:r>
    </w:p>
    <w:p>
      <w:pPr>
        <w:ind w:left="860" w:hanging="286"/>
        <w:spacing w:after="0"/>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mandatorily cleared contracts through centralized clearinghouses.</w:t>
      </w:r>
    </w:p>
    <w:p>
      <w:pPr>
        <w:spacing w:after="0" w:line="134"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6"/>
          <w:szCs w:val="16"/>
          <w:color w:val="auto"/>
        </w:rPr>
        <w:t>We manage our exposure on a net basis, whereby we net positive and negative exposures for each counterparty with agreements in place. For further information on derivative exposure, see Item 1. “Financial Statements, Notes to Unaudited Condensed Consolidated Financial Statements, Note 4, Investments” under the caption, “Balance Sheet Offsetting.”</w:t>
      </w:r>
    </w:p>
    <w:p>
      <w:pPr>
        <w:spacing w:after="0" w:line="164"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A dedicated risk management team is responsible for centralized monitoring of the commercial mortgage loan portfolio. We apply a variety of guidelines to minimize credit risk in our commercial mortgage loan portfolio. When considering new commercial mortgage loans, we review the cash flow fundamentals of the property, make a physical assessment of the underlying commercial real estate, conduct a comprehensive market analysis and compare against industry lending practices. We use a proprietary risk rating model to evaluate all new and substantially all existing loans within the portfolio. The proprietary risk model is designed to stress projected cash flows under simulated economic and market downturns. Our lending guidelines are typically 75% or less loan-to-value ratio and a debt service coverage ratio of at least 1.2 times. We analyze investments outside of these guidelines based on cash flow quality, tenancy and other factors. The following table presents loan-to-value and debt service coverage ratios for our brick and mortar commercial mortgage loans: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500" w:type="dxa"/>
            <w:vAlign w:val="bottom"/>
            <w:gridSpan w:val="4"/>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Weighted average loan-to-value ratio</w:t>
            </w:r>
          </w:p>
        </w:tc>
        <w:tc>
          <w:tcPr>
            <w:tcW w:w="1900" w:type="dxa"/>
            <w:vAlign w:val="bottom"/>
            <w:gridSpan w:val="3"/>
          </w:tcPr>
          <w:p>
            <w:pPr>
              <w:jc w:val="center"/>
              <w:ind w:left="228"/>
              <w:spacing w:after="0"/>
              <w:rPr>
                <w:sz w:val="20"/>
                <w:szCs w:val="20"/>
                <w:color w:val="auto"/>
              </w:rPr>
            </w:pPr>
            <w:r>
              <w:rPr>
                <w:rFonts w:ascii="Times New Roman" w:cs="Times New Roman" w:eastAsia="Times New Roman" w:hAnsi="Times New Roman"/>
                <w:sz w:val="13"/>
                <w:szCs w:val="13"/>
                <w:b w:val="1"/>
                <w:bCs w:val="1"/>
                <w:color w:val="auto"/>
              </w:rPr>
              <w:t>Debt service coverage ratio</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456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182"/>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1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2"/>
                <w:szCs w:val="12"/>
                <w:color w:val="auto"/>
              </w:rPr>
            </w:pPr>
          </w:p>
        </w:tc>
        <w:tc>
          <w:tcPr>
            <w:tcW w:w="2200" w:type="dxa"/>
            <w:vAlign w:val="bottom"/>
            <w:tcBorders>
              <w:top w:val="single" w:sz="8" w:color="auto"/>
            </w:tcBorders>
            <w:gridSpan w:val="4"/>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March 31, 2025   December 31, 2024</w:t>
            </w:r>
          </w:p>
        </w:tc>
        <w:tc>
          <w:tcPr>
            <w:tcW w:w="80" w:type="dxa"/>
            <w:vAlign w:val="bottom"/>
          </w:tcPr>
          <w:p>
            <w:pPr>
              <w:spacing w:after="0"/>
              <w:rPr>
                <w:sz w:val="12"/>
                <w:szCs w:val="12"/>
                <w:color w:val="auto"/>
              </w:rPr>
            </w:pPr>
          </w:p>
        </w:tc>
      </w:tr>
      <w:tr>
        <w:trPr>
          <w:trHeight w:val="172"/>
        </w:trPr>
        <w:tc>
          <w:tcPr>
            <w:tcW w:w="45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New mortgages</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47</w:t>
            </w:r>
          </w:p>
        </w:tc>
        <w:tc>
          <w:tcPr>
            <w:tcW w:w="240" w:type="dxa"/>
            <w:vAlign w:val="bottom"/>
            <w:tcBorders>
              <w:top w:val="single" w:sz="8" w:color="CCEEFF"/>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top w:val="single" w:sz="8" w:color="CCEEFF"/>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ind w:left="680"/>
              <w:spacing w:after="0" w:line="172" w:lineRule="exact"/>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x</w:t>
            </w: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x</w:t>
            </w:r>
          </w:p>
        </w:tc>
      </w:tr>
      <w:tr>
        <w:trPr>
          <w:trHeight w:val="205"/>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Entire mortgage portfolio</w:t>
            </w:r>
          </w:p>
        </w:tc>
        <w:tc>
          <w:tcPr>
            <w:tcW w:w="11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50 %</w:t>
            </w:r>
          </w:p>
        </w:tc>
        <w:tc>
          <w:tcPr>
            <w:tcW w:w="13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50 %</w:t>
            </w:r>
          </w:p>
        </w:tc>
        <w:tc>
          <w:tcPr>
            <w:tcW w:w="190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2.3 x</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2.3 x</w:t>
            </w:r>
          </w:p>
        </w:tc>
      </w:tr>
    </w:tbl>
    <w:p>
      <w:pPr>
        <w:spacing w:after="0" w:line="14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We also seek to manage call or prepayment risk arising from changes in interest rates. We assess and price for call or prepayment risks in all of our investments and monitor these risks in accordance with asset/liability management policies.</w:t>
      </w:r>
    </w:p>
    <w:p>
      <w:pPr>
        <w:spacing w:after="0" w:line="155"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6"/>
          <w:szCs w:val="16"/>
          <w:color w:val="auto"/>
        </w:rPr>
        <w:t>The amortized cost and weighted average yield, calculated using amortized cost, of non-structured fixed maturity securities that will be callable at the option of the issuer, excluding securities with a make -whole provision, were $2,344.8 million and 4.3%, respectively, as of March 31, 2025, and $2,091.5 million and 4.0%, respectively, as of December 31, 2024. In addition, the amortized cost and weighted average yield of RMBS, residential collateralized mortgage obligations, and asset-backed securities - home equity with material prepayment risk were $8,637.1 million and 4.2%, respectively, as of March 31, 2025, and $8,401.9 million and 4.1%, respectively, as of December 31, 2024.</w:t>
      </w:r>
    </w:p>
    <w:p>
      <w:pPr>
        <w:spacing w:after="0" w:line="169" w:lineRule="exact"/>
        <w:rPr>
          <w:sz w:val="20"/>
          <w:szCs w:val="20"/>
          <w:color w:val="auto"/>
        </w:rPr>
      </w:pPr>
    </w:p>
    <w:p>
      <w:pPr>
        <w:ind w:firstLine="576"/>
        <w:spacing w:after="0" w:line="289" w:lineRule="auto"/>
        <w:rPr>
          <w:sz w:val="20"/>
          <w:szCs w:val="20"/>
          <w:color w:val="auto"/>
        </w:rPr>
      </w:pPr>
      <w:r>
        <w:rPr>
          <w:rFonts w:ascii="Times New Roman" w:cs="Times New Roman" w:eastAsia="Times New Roman" w:hAnsi="Times New Roman"/>
          <w:sz w:val="14"/>
          <w:szCs w:val="14"/>
          <w:color w:val="auto"/>
        </w:rPr>
        <w:t>Our investment decisions and objectives are a function of the underlying risks and product profiles of each primary business operation. In addition, we diversify our product portfolio offerings to include products that contain features that will protect us against fluctuations in interest rates. Those features include adjustable crediting rates, policy surrender charges and market value adjustments on liquidations. For further information on our management of interest rate risk, see Item 3. “Quantitative and Qualitative Disclosures About Market Risk – Interest Rate Risk.”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29" w:name="page130"/>
    <w:bookmarkEnd w:id="12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Overall Composition of U.S. Invested Assets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shown in the following table, the major categories of U.S. invested assets are fixed maturities and mortgage loans.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88"/>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40" w:type="dxa"/>
            <w:vAlign w:val="bottom"/>
          </w:tcPr>
          <w:p>
            <w:pPr>
              <w:spacing w:after="0"/>
              <w:rPr>
                <w:sz w:val="14"/>
                <w:szCs w:val="14"/>
                <w:color w:val="auto"/>
              </w:rPr>
            </w:pPr>
          </w:p>
        </w:tc>
        <w:tc>
          <w:tcPr>
            <w:tcW w:w="1740" w:type="dxa"/>
            <w:vAlign w:val="bottom"/>
            <w:gridSpan w:val="3"/>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Carrying amount</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0"/>
              <w:spacing w:after="0" w:line="14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6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Carrying amount</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88"/>
              <w:spacing w:after="0" w:line="14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600" w:type="dxa"/>
            <w:vAlign w:val="bottom"/>
            <w:gridSpan w:val="2"/>
          </w:tcPr>
          <w:p>
            <w:pPr>
              <w:jc w:val="right"/>
              <w:ind w:right="26"/>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260" w:type="dxa"/>
            <w:vAlign w:val="bottom"/>
            <w:shd w:val="clear" w:color="auto" w:fill="CCEEFF"/>
          </w:tcPr>
          <w:p>
            <w:pPr>
              <w:jc w:val="right"/>
              <w:ind w:right="106"/>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54,626.9</w:t>
            </w:r>
          </w:p>
        </w:tc>
        <w:tc>
          <w:tcPr>
            <w:tcW w:w="1300" w:type="dxa"/>
            <w:vAlign w:val="bottom"/>
            <w:gridSpan w:val="3"/>
            <w:shd w:val="clear" w:color="auto" w:fill="CCEEFF"/>
          </w:tcPr>
          <w:p>
            <w:pPr>
              <w:jc w:val="right"/>
              <w:ind w:right="28"/>
              <w:spacing w:after="0" w:line="180" w:lineRule="exact"/>
              <w:rPr>
                <w:sz w:val="20"/>
                <w:szCs w:val="20"/>
                <w:color w:val="auto"/>
              </w:rPr>
            </w:pPr>
            <w:r>
              <w:rPr>
                <w:rFonts w:ascii="Times New Roman" w:cs="Times New Roman" w:eastAsia="Times New Roman" w:hAnsi="Times New Roman"/>
                <w:sz w:val="16"/>
                <w:szCs w:val="16"/>
                <w:b w:val="1"/>
                <w:bCs w:val="1"/>
                <w:color w:val="auto"/>
              </w:rPr>
              <w:t>67 %</w:t>
            </w:r>
          </w:p>
        </w:tc>
        <w:tc>
          <w:tcPr>
            <w:tcW w:w="340" w:type="dxa"/>
            <w:vAlign w:val="bottom"/>
            <w:shd w:val="clear" w:color="auto" w:fill="CCEEFF"/>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52,960.3</w:t>
            </w:r>
          </w:p>
        </w:tc>
        <w:tc>
          <w:tcPr>
            <w:tcW w:w="12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1,663.7</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1,547.6</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17,225.8</w:t>
            </w:r>
          </w:p>
        </w:tc>
        <w:tc>
          <w:tcPr>
            <w:tcW w:w="10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17,404.6</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2,479.0</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2,463.7</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860.0</w:t>
            </w:r>
          </w:p>
        </w:tc>
        <w:tc>
          <w:tcPr>
            <w:tcW w:w="10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852.5</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4,865.3</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4,844.7</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8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w:t>
            </w: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81,720.7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w:t>
            </w:r>
          </w:p>
        </w:tc>
        <w:tc>
          <w:tcPr>
            <w:tcW w:w="260" w:type="dxa"/>
            <w:vAlign w:val="bottom"/>
            <w:tcBorders>
              <w:top w:val="single" w:sz="8" w:color="CCEEFF"/>
              <w:bottom w:val="single" w:sz="8" w:color="CCEEFF"/>
            </w:tcBorders>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80,073.4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4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2,508.8</w:t>
            </w: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2,882.9</w:t>
            </w: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8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 and cash</w:t>
            </w:r>
          </w:p>
        </w:tc>
        <w:tc>
          <w:tcPr>
            <w:tcW w:w="260" w:type="dxa"/>
            <w:vAlign w:val="bottom"/>
            <w:tcBorders>
              <w:bottom w:val="single" w:sz="8" w:color="auto"/>
            </w:tcBorders>
            <w:shd w:val="clear" w:color="auto" w:fill="CCEEFF"/>
          </w:tcPr>
          <w:p>
            <w:pPr>
              <w:jc w:val="right"/>
              <w:ind w:right="106"/>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84,229.5</w:t>
            </w: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6"/>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82,956.3</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 Maturities</w:t>
      </w:r>
    </w:p>
    <w:p>
      <w:pPr>
        <w:spacing w:after="0" w:line="192" w:lineRule="exact"/>
        <w:rPr>
          <w:sz w:val="20"/>
          <w:szCs w:val="20"/>
          <w:color w:val="auto"/>
        </w:rPr>
      </w:pPr>
    </w:p>
    <w:p>
      <w:pPr>
        <w:ind w:right="160" w:firstLine="576"/>
        <w:spacing w:after="0" w:line="259" w:lineRule="auto"/>
        <w:rPr>
          <w:sz w:val="20"/>
          <w:szCs w:val="20"/>
          <w:color w:val="auto"/>
        </w:rPr>
      </w:pPr>
      <w:r>
        <w:rPr>
          <w:rFonts w:ascii="Times New Roman" w:cs="Times New Roman" w:eastAsia="Times New Roman" w:hAnsi="Times New Roman"/>
          <w:sz w:val="16"/>
          <w:szCs w:val="16"/>
          <w:color w:val="auto"/>
        </w:rPr>
        <w:t>Fixed maturities include bonds, ABS, redeemable preferred stock and certain non-redeemable preferred securities that were diversified by category of issuer, as shown in the following table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788"/>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Pr>
          <w:p>
            <w:pPr>
              <w:spacing w:after="0"/>
              <w:rPr>
                <w:sz w:val="14"/>
                <w:szCs w:val="14"/>
                <w:color w:val="auto"/>
              </w:rPr>
            </w:pPr>
          </w:p>
        </w:tc>
        <w:tc>
          <w:tcPr>
            <w:tcW w:w="192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r>
      <w:tr>
        <w:trPr>
          <w:trHeight w:val="134"/>
        </w:trPr>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65"/>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1"/>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65"/>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0"/>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1"/>
                <w:szCs w:val="11"/>
                <w:color w:val="auto"/>
              </w:rPr>
            </w:pPr>
          </w:p>
        </w:tc>
      </w:tr>
      <w:tr>
        <w:trPr>
          <w:trHeight w:val="170"/>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140" w:type="dxa"/>
            <w:vAlign w:val="bottom"/>
          </w:tcPr>
          <w:p>
            <w:pPr>
              <w:spacing w:after="0"/>
              <w:rPr>
                <w:sz w:val="14"/>
                <w:szCs w:val="14"/>
                <w:color w:val="auto"/>
              </w:rPr>
            </w:pPr>
          </w:p>
        </w:tc>
      </w:tr>
      <w:tr>
        <w:trPr>
          <w:trHeight w:val="136"/>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260" w:type="dxa"/>
            <w:vAlign w:val="bottom"/>
            <w:gridSpan w:val="3"/>
          </w:tcPr>
          <w:p>
            <w:pPr>
              <w:jc w:val="right"/>
              <w:ind w:right="665"/>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1,108.4</w:t>
            </w:r>
          </w:p>
        </w:tc>
        <w:tc>
          <w:tcPr>
            <w:tcW w:w="1320" w:type="dxa"/>
            <w:vAlign w:val="bottom"/>
            <w:gridSpan w:val="3"/>
            <w:shd w:val="clear" w:color="auto" w:fill="CCEEFF"/>
          </w:tcPr>
          <w:p>
            <w:pPr>
              <w:jc w:val="right"/>
              <w:ind w:right="28"/>
              <w:spacing w:after="0" w:line="180" w:lineRule="exact"/>
              <w:rPr>
                <w:sz w:val="20"/>
                <w:szCs w:val="20"/>
                <w:color w:val="auto"/>
              </w:rPr>
            </w:pPr>
            <w:r>
              <w:rPr>
                <w:rFonts w:ascii="Times New Roman" w:cs="Times New Roman" w:eastAsia="Times New Roman" w:hAnsi="Times New Roman"/>
                <w:sz w:val="16"/>
                <w:szCs w:val="16"/>
                <w:b w:val="1"/>
                <w:bCs w:val="1"/>
                <w:color w:val="auto"/>
              </w:rPr>
              <w:t>2 %</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1,102.6</w:t>
            </w:r>
          </w:p>
        </w:tc>
        <w:tc>
          <w:tcPr>
            <w:tcW w:w="12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2 %</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389.7</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393.0</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4,941.7</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4,836.3</w:t>
            </w: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Corporate - public</w:t>
            </w: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13,638.9</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13,405.7</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Corporate - private</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13,862.2</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13,193.4</w:t>
            </w: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3,762.8</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3,673.6</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4,530.7</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4,446.8</w:t>
            </w: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4,329.3</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4,043.3</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8,063.2</w:t>
            </w:r>
          </w:p>
        </w:tc>
        <w:tc>
          <w:tcPr>
            <w:tcW w:w="10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7,865.6</w:t>
            </w: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5"/>
                <w:szCs w:val="15"/>
                <w:color w:val="auto"/>
              </w:rPr>
            </w:pPr>
          </w:p>
        </w:tc>
      </w:tr>
      <w:tr>
        <w:trPr>
          <w:trHeight w:val="172"/>
        </w:trPr>
        <w:tc>
          <w:tcPr>
            <w:tcW w:w="480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fixed maturities</w:t>
            </w: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54,626.9</w:t>
            </w:r>
          </w:p>
        </w:tc>
        <w:tc>
          <w:tcPr>
            <w:tcW w:w="1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w:t>
            </w:r>
          </w:p>
        </w:tc>
        <w:tc>
          <w:tcPr>
            <w:tcW w:w="260" w:type="dxa"/>
            <w:vAlign w:val="bottom"/>
          </w:tcPr>
          <w:p>
            <w:pPr>
              <w:jc w:val="right"/>
              <w:ind w:right="28"/>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52,960.3</w:t>
            </w:r>
          </w:p>
        </w:tc>
        <w:tc>
          <w:tcPr>
            <w:tcW w:w="1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576"/>
        <w:spacing w:after="0" w:line="243" w:lineRule="auto"/>
        <w:rPr>
          <w:sz w:val="20"/>
          <w:szCs w:val="20"/>
          <w:color w:val="auto"/>
        </w:rPr>
      </w:pPr>
      <w:r>
        <w:rPr>
          <w:rFonts w:ascii="Times New Roman" w:cs="Times New Roman" w:eastAsia="Times New Roman" w:hAnsi="Times New Roman"/>
          <w:sz w:val="16"/>
          <w:szCs w:val="16"/>
          <w:color w:val="auto"/>
        </w:rPr>
        <w:t>We believe it is desirable to hold residential mortgage-backed pass-through securities due to their credit quality and liquidity as well as portfolio diversification characteristics. Our portfolio is comprised of Government National Mortgage Association, Federal National Mortgage Association and Federal Home Loan Mortgage Corporation pass-through securities. In addition, our residential collateralized mortgage obligation portfolio offers structural features that allow cash flows to be matched to our liabilities.</w:t>
      </w:r>
    </w:p>
    <w:p>
      <w:pPr>
        <w:spacing w:after="0" w:line="167" w:lineRule="exact"/>
        <w:rPr>
          <w:sz w:val="20"/>
          <w:szCs w:val="20"/>
          <w:color w:val="auto"/>
        </w:rPr>
      </w:pPr>
    </w:p>
    <w:p>
      <w:pPr>
        <w:ind w:right="80" w:firstLine="576"/>
        <w:spacing w:after="0" w:line="280" w:lineRule="auto"/>
        <w:rPr>
          <w:sz w:val="20"/>
          <w:szCs w:val="20"/>
          <w:color w:val="auto"/>
        </w:rPr>
      </w:pPr>
      <w:r>
        <w:rPr>
          <w:rFonts w:ascii="Times New Roman" w:cs="Times New Roman" w:eastAsia="Times New Roman" w:hAnsi="Times New Roman"/>
          <w:sz w:val="14"/>
          <w:szCs w:val="14"/>
          <w:color w:val="auto"/>
        </w:rPr>
        <w:t>We purchase CMBS to diversify the overall credit risks of the fixed maturities portfolio and to provide attractive returns. The primary risks in holding CMBS are structural and credit risks. Structural risks include the security’s priority in the issuer’s capital structure, the adequacy of and ability to realize proceeds from the collateral and the potential for prepayments. Credit risks involve collateral and issuer/servicer risk where collateral and servicer performance may deteriorate. CMBS are predominantly comprised of large pool securitizations that are diverse by property type, borrower and geographic dispersion. The risks to any CMBS deal are determined by the credit quality of the underlying loans and how those loans perform over time. Another key risk is the vintage of the underlying loans and the state of the markets during a particular vintage.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30" w:name="page131"/>
    <w:bookmarkEnd w:id="13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0" w:firstLine="576"/>
        <w:spacing w:after="0" w:line="239" w:lineRule="auto"/>
        <w:rPr>
          <w:sz w:val="20"/>
          <w:szCs w:val="20"/>
          <w:color w:val="auto"/>
        </w:rPr>
      </w:pPr>
      <w:r>
        <w:rPr>
          <w:rFonts w:ascii="Times New Roman" w:cs="Times New Roman" w:eastAsia="Times New Roman" w:hAnsi="Times New Roman"/>
          <w:sz w:val="16"/>
          <w:szCs w:val="16"/>
          <w:color w:val="auto"/>
        </w:rPr>
        <w:t>Similar to CMBS, we purchase ABS for diversification and to provide attractive returns. The primary risks in holding ABS are also structural and credit risks, which are similar to those noted above for CMBS. Our ABS portfolio is diversified by type of asset, issuer, and vintage. We actively monitor holdings of ABS to recognize adverse changes in the risk profile of each security. Prepayments in the ABS portfolio are, in general, insensitive to changes in interest rates or are insulated from such changes by call protection features. In the event we are subject to prepayment risk, we monitor the factors that impact the level of prepayment and prepayment speed for those ABS. In addition, we hold a diverse class of securities, which limits our exposure to any one security.</w:t>
      </w:r>
    </w:p>
    <w:p>
      <w:pPr>
        <w:spacing w:after="0" w:line="173"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The international exposure held in our U.S. operation’s fixed maturities portfolio was 14% of total fixed maturities as of both March 31, 2025 and December 31, 2024. It is comprised of corporate and foreign government fixed maturities.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6"/>
        </w:trPr>
        <w:tc>
          <w:tcPr>
            <w:tcW w:w="6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1580" w:type="dxa"/>
            <w:vAlign w:val="bottom"/>
            <w:gridSpan w:val="3"/>
          </w:tcPr>
          <w:p>
            <w:pPr>
              <w:jc w:val="center"/>
              <w:ind w:right="1063"/>
              <w:spacing w:after="0" w:line="136" w:lineRule="exact"/>
              <w:rPr>
                <w:sz w:val="20"/>
                <w:szCs w:val="20"/>
                <w:color w:val="auto"/>
              </w:rPr>
            </w:pPr>
            <w:r>
              <w:rPr>
                <w:rFonts w:ascii="Times New Roman" w:cs="Times New Roman" w:eastAsia="Times New Roman" w:hAnsi="Times New Roman"/>
                <w:sz w:val="13"/>
                <w:szCs w:val="13"/>
                <w:i w:val="1"/>
                <w:iCs w:val="1"/>
                <w:color w:val="auto"/>
                <w:w w:val="95"/>
              </w:rPr>
              <w:t>millions)</w:t>
            </w: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European Union</w:t>
            </w:r>
          </w:p>
        </w:tc>
        <w:tc>
          <w:tcPr>
            <w:tcW w:w="160" w:type="dxa"/>
            <w:vAlign w:val="bottom"/>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2,220.0</w:t>
            </w:r>
          </w:p>
        </w:tc>
        <w:tc>
          <w:tcPr>
            <w:tcW w:w="320" w:type="dxa"/>
            <w:vAlign w:val="bottom"/>
            <w:gridSpan w:val="2"/>
            <w:shd w:val="clear" w:color="auto" w:fill="CCEEFF"/>
          </w:tcPr>
          <w:p>
            <w:pPr>
              <w:jc w:val="center"/>
              <w:ind w:left="8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2,227.9</w:t>
            </w: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Australia/New Zealand</w:t>
            </w:r>
          </w:p>
        </w:tc>
        <w:tc>
          <w:tcPr>
            <w:tcW w:w="16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1,508.6</w:t>
            </w: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1,473.5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1,330.5</w:t>
            </w: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w:t>
            </w:r>
          </w:p>
        </w:tc>
        <w:tc>
          <w:tcPr>
            <w:tcW w:w="16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1,033.3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1,031.4</w:t>
            </w: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Asia-Pacific</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506.4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490.7</w:t>
            </w: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Middle East and Africa</w:t>
            </w:r>
          </w:p>
        </w:tc>
        <w:tc>
          <w:tcPr>
            <w:tcW w:w="16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490.7</w:t>
            </w: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Europe, non-European Union</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316.0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320.5</w:t>
            </w:r>
          </w:p>
        </w:tc>
      </w:tr>
      <w:tr>
        <w:trPr>
          <w:trHeight w:val="180"/>
        </w:trPr>
        <w:tc>
          <w:tcPr>
            <w:tcW w:w="64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301.2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205.4</w:t>
            </w:r>
          </w:p>
        </w:tc>
      </w:tr>
      <w:tr>
        <w:trPr>
          <w:trHeight w:val="172"/>
        </w:trPr>
        <w:tc>
          <w:tcPr>
            <w:tcW w:w="640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7,872.2</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7,605.7</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576"/>
        <w:spacing w:after="0" w:line="239" w:lineRule="auto"/>
        <w:rPr>
          <w:sz w:val="20"/>
          <w:szCs w:val="20"/>
          <w:color w:val="auto"/>
        </w:rPr>
      </w:pPr>
      <w:r>
        <w:rPr>
          <w:rFonts w:ascii="Times New Roman" w:cs="Times New Roman" w:eastAsia="Times New Roman" w:hAnsi="Times New Roman"/>
          <w:sz w:val="16"/>
          <w:szCs w:val="16"/>
          <w:color w:val="auto"/>
        </w:rPr>
        <w:t>International fixed maturities exposure is determined by the country of risk of the obligor entity. All international fixed maturities held by our U.S. operations are either denominated in U.S. dollars or have been swapped into U.S. dollar equivalents. Our international investments are analyzed internally by country and industry credit investment professionals. We control concentrations using issuer and country level exposure benchmarks, which are based on the credit quality of the issuer and the country. Our investment policy limits total international fixed maturities investments and we are within those internal limits. Exposure to Canada is not included in our international exposure. As of March 31, 2025 and December 31, 2024, our investments in Canada totaled $969.5 million and $966.1 million, respectively.</w:t>
      </w:r>
    </w:p>
    <w:p>
      <w:pPr>
        <w:spacing w:after="0" w:line="169" w:lineRule="exact"/>
        <w:rPr>
          <w:sz w:val="20"/>
          <w:szCs w:val="20"/>
          <w:color w:val="auto"/>
        </w:rPr>
      </w:pPr>
    </w:p>
    <w:p>
      <w:pPr>
        <w:jc w:val="both"/>
        <w:ind w:right="100" w:firstLine="576"/>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Fixed Maturities Credit Concentrations. </w:t>
      </w:r>
      <w:r>
        <w:rPr>
          <w:rFonts w:ascii="Times New Roman" w:cs="Times New Roman" w:eastAsia="Times New Roman" w:hAnsi="Times New Roman"/>
          <w:sz w:val="16"/>
          <w:szCs w:val="16"/>
          <w:color w:val="auto"/>
        </w:rPr>
        <w:t>One aspect of managing credit risk is through industry, issuer and asset class diversification.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concentrations are managed to established limits. The top 10 exposures comprised 5.4% of single-name credit fixed maturity exposures as of both March 31, 2025 and December 31, 2024.</w:t>
      </w:r>
    </w:p>
    <w:p>
      <w:pPr>
        <w:spacing w:after="0" w:line="160"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Fixed Maturities Valuation and Credit Quality. </w:t>
      </w:r>
      <w:r>
        <w:rPr>
          <w:rFonts w:ascii="Times New Roman" w:cs="Times New Roman" w:eastAsia="Times New Roman" w:hAnsi="Times New Roman"/>
          <w:sz w:val="16"/>
          <w:szCs w:val="16"/>
          <w:color w:val="auto"/>
        </w:rPr>
        <w:t>Valuation techniques for the fixed maturities portfolio vary by security type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availability of market data. The use of different pricing techniques and their assumptions could produce different financial results. See Item 1. “Financial Statements, Notes to Unaudited Condensed Consolidated Financial Statements, Note 17, Fair Value Measurements” for further details regarding our pricing methodology. Once prices are determined, they are reviewed by pricing analysts for reasonableness based on asset class and observable market data. Investment analysts who are familiar with specific securities review prices for reasonableness through direct interaction with external sources, review of recent trade activity or use of internal models. All fixed maturities placed on the “watch list” are periodically analyzed by investment analysts. These analysts periodically meet with the Chief Investment Officer and the Portfolio Managers to determine reasonableness of the analysts’ prices. The valuation of bonds for which a credit loss exists and there is no quoted price is typically based on relative value analysis and the present value of the future cash flows expected to be received. Although we believe these values reasonably reflect the fair value of those securities, the key assumptions about risk premiums, performance of underlying collateral (if any) and other market factors involve qualitative and unobservable inputs.</w:t>
      </w:r>
    </w:p>
    <w:p>
      <w:pPr>
        <w:spacing w:after="0" w:line="170" w:lineRule="exact"/>
        <w:rPr>
          <w:sz w:val="20"/>
          <w:szCs w:val="20"/>
          <w:color w:val="auto"/>
        </w:rPr>
      </w:pPr>
    </w:p>
    <w:p>
      <w:pPr>
        <w:ind w:firstLine="576"/>
        <w:spacing w:after="0" w:line="278" w:lineRule="auto"/>
        <w:rPr>
          <w:sz w:val="20"/>
          <w:szCs w:val="20"/>
          <w:color w:val="auto"/>
        </w:rPr>
      </w:pPr>
      <w:r>
        <w:rPr>
          <w:rFonts w:ascii="Times New Roman" w:cs="Times New Roman" w:eastAsia="Times New Roman" w:hAnsi="Times New Roman"/>
          <w:sz w:val="14"/>
          <w:szCs w:val="14"/>
          <w:color w:val="auto"/>
        </w:rPr>
        <w:t>The Securities Valuation Office (“SVO”) of the National Association of Insurance Commissioners (“NAIC”) monitors the bond investments of insurers for regulatory capital and reporting purposes and, when required, assigns securities to one of six categories referred to as NAIC designations. Although NAIC designations are not produced to aid the investment decision making process, NAIC designations may serve as a reasonable proxy for Nationally Recognized Statistical Rating Organizations’ (“NRSRO”) credit ratings for certain bonds. For most corporate bonds, NAIC designations 1 and 2 include bonds generally considered investment grade by such rating organizations. Bonds are considered investment grade when rated ‘‘Baa3’’ or higher by Moody’s, or ‘‘BBB-’’ or higher by S&amp;P. NAIC designations 3 through 6 include bonds generally referred to as below investment grade. Bonds are considered below investment grade when rated ‘‘Ba1’’ or lower by Moody’s, or ‘‘BB+’’ or lower by S&amp;P.</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31" w:name="page132"/>
    <w:bookmarkEnd w:id="131"/>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2" w:right="200" w:firstLine="576"/>
        <w:spacing w:after="0" w:line="247" w:lineRule="auto"/>
        <w:rPr>
          <w:sz w:val="20"/>
          <w:szCs w:val="20"/>
          <w:color w:val="auto"/>
        </w:rPr>
      </w:pPr>
      <w:r>
        <w:rPr>
          <w:rFonts w:ascii="Times New Roman" w:cs="Times New Roman" w:eastAsia="Times New Roman" w:hAnsi="Times New Roman"/>
          <w:sz w:val="16"/>
          <w:szCs w:val="16"/>
          <w:color w:val="auto"/>
        </w:rPr>
        <w:t>For loan -backed and structured securities, as defined by the NAIC, the NAIC designation is not always a reasonable indication of an NRSRO rating as described below. For CMBS and non-agency RMBS, Blackrock Solutions undertakes the modeling of those NAIC designations. This may result in a final designation being higher or lower than the NRSRO credit rating.</w:t>
      </w:r>
    </w:p>
    <w:p>
      <w:pPr>
        <w:spacing w:after="0" w:line="164" w:lineRule="exact"/>
        <w:rPr>
          <w:sz w:val="20"/>
          <w:szCs w:val="20"/>
          <w:color w:val="auto"/>
        </w:rPr>
      </w:pPr>
    </w:p>
    <w:p>
      <w:pPr>
        <w:ind w:left="2" w:right="14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our total fixed maturities by NAIC designation as of the periods indicated as well as the percentage, based on fair value, that each designation comprises.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6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3"/>
                <w:szCs w:val="13"/>
                <w:color w:val="auto"/>
              </w:rPr>
            </w:pPr>
          </w:p>
        </w:tc>
        <w:tc>
          <w:tcPr>
            <w:tcW w:w="84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3"/>
                <w:szCs w:val="13"/>
                <w:color w:val="auto"/>
              </w:rPr>
            </w:pPr>
          </w:p>
        </w:tc>
      </w:tr>
      <w:tr>
        <w:trPr>
          <w:trHeight w:val="170"/>
        </w:trPr>
        <w:tc>
          <w:tcPr>
            <w:tcW w:w="352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3"/>
                <w:szCs w:val="13"/>
                <w:b w:val="1"/>
                <w:bCs w:val="1"/>
                <w:color w:val="auto"/>
              </w:rPr>
              <w:t>NAIC designation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i w:val="1"/>
                <w:iCs w:val="1"/>
                <w:color w:val="auto"/>
              </w:rPr>
              <w:t>($ in</w:t>
            </w:r>
          </w:p>
        </w:tc>
        <w:tc>
          <w:tcPr>
            <w:tcW w:w="1120" w:type="dxa"/>
            <w:vAlign w:val="bottom"/>
            <w:gridSpan w:val="4"/>
          </w:tcPr>
          <w:p>
            <w:pPr>
              <w:jc w:val="center"/>
              <w:ind w:right="485"/>
              <w:spacing w:after="0" w:line="148"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39,116.6</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36,688.9</w:t>
            </w:r>
          </w:p>
        </w:tc>
        <w:tc>
          <w:tcPr>
            <w:tcW w:w="9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67 %</w:t>
            </w:r>
          </w:p>
        </w:tc>
        <w:tc>
          <w:tcPr>
            <w:tcW w:w="16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38,458.6</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35,638.3</w:t>
            </w:r>
          </w:p>
        </w:tc>
        <w:tc>
          <w:tcPr>
            <w:tcW w:w="9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67 %</w:t>
            </w: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15,818.9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15,043.6</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15,418.8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14,515.9</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2,566.0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2,496.6</w:t>
            </w:r>
          </w:p>
        </w:tc>
        <w:tc>
          <w:tcPr>
            <w:tcW w:w="7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2,459.0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2,389.5</w:t>
            </w:r>
          </w:p>
        </w:tc>
        <w:tc>
          <w:tcPr>
            <w:tcW w:w="7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283.4</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338.5</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w:t>
            </w:r>
          </w:p>
        </w:tc>
        <w:tc>
          <w:tcPr>
            <w:tcW w:w="140" w:type="dxa"/>
            <w:vAlign w:val="bottom"/>
          </w:tcPr>
          <w:p>
            <w:pPr>
              <w:spacing w:after="0"/>
              <w:rPr>
                <w:sz w:val="15"/>
                <w:szCs w:val="15"/>
                <w:color w:val="auto"/>
              </w:rPr>
            </w:pPr>
          </w:p>
        </w:tc>
        <w:tc>
          <w:tcPr>
            <w:tcW w:w="840" w:type="dxa"/>
            <w:vAlign w:val="bottom"/>
            <w:gridSpan w:val="2"/>
          </w:tcPr>
          <w:p>
            <w:pPr>
              <w:jc w:val="right"/>
              <w:ind w:right="18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r>
      <w:tr>
        <w:trPr>
          <w:trHeight w:val="180"/>
        </w:trPr>
        <w:tc>
          <w:tcPr>
            <w:tcW w:w="35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7"/>
              </w:rPr>
              <w:t>Unallocated portfolio layer method basis adjustment (1)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r>
      <w:tr>
        <w:trPr>
          <w:trHeight w:val="172"/>
        </w:trPr>
        <w:tc>
          <w:tcPr>
            <w:tcW w:w="35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fixed maturities</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57,891.5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54,626.</w:t>
            </w:r>
            <w:r>
              <w:rPr>
                <w:rFonts w:ascii="Times New Roman" w:cs="Times New Roman" w:eastAsia="Times New Roman" w:hAnsi="Times New Roman"/>
                <w:sz w:val="16"/>
                <w:szCs w:val="16"/>
                <w:b w:val="1"/>
                <w:bCs w:val="1"/>
                <w:u w:val="single" w:color="auto"/>
                <w:color w:val="auto"/>
              </w:rPr>
              <w:t>9</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w:t>
            </w:r>
          </w:p>
        </w:tc>
        <w:tc>
          <w:tcPr>
            <w:tcW w:w="2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56,746.</w:t>
            </w:r>
            <w:r>
              <w:rPr>
                <w:rFonts w:ascii="Times New Roman" w:cs="Times New Roman" w:eastAsia="Times New Roman" w:hAnsi="Times New Roman"/>
                <w:sz w:val="16"/>
                <w:szCs w:val="16"/>
                <w:u w:val="single" w:color="auto"/>
                <w:color w:val="auto"/>
              </w:rPr>
              <w:t>5</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52,960.</w:t>
            </w:r>
            <w:r>
              <w:rPr>
                <w:rFonts w:ascii="Times New Roman" w:cs="Times New Roman" w:eastAsia="Times New Roman" w:hAnsi="Times New Roman"/>
                <w:sz w:val="16"/>
                <w:szCs w:val="16"/>
                <w:u w:val="single" w:color="auto"/>
                <w:color w:val="auto"/>
              </w:rPr>
              <w:t>3</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  Amounts represent unallocated basis adjustments related to fair value hedges utilizing the portfolio layer method.</w:t>
      </w:r>
    </w:p>
    <w:p>
      <w:pPr>
        <w:spacing w:after="0" w:line="188" w:lineRule="exact"/>
        <w:rPr>
          <w:sz w:val="20"/>
          <w:szCs w:val="20"/>
          <w:color w:val="auto"/>
        </w:rPr>
      </w:pPr>
    </w:p>
    <w:p>
      <w:pPr>
        <w:ind w:left="2" w:right="20" w:firstLine="576"/>
        <w:spacing w:after="0" w:line="284" w:lineRule="auto"/>
        <w:rPr>
          <w:sz w:val="20"/>
          <w:szCs w:val="20"/>
          <w:color w:val="auto"/>
        </w:rPr>
      </w:pPr>
      <w:r>
        <w:rPr>
          <w:rFonts w:ascii="Times New Roman" w:cs="Times New Roman" w:eastAsia="Times New Roman" w:hAnsi="Times New Roman"/>
          <w:sz w:val="14"/>
          <w:szCs w:val="14"/>
          <w:color w:val="auto"/>
        </w:rPr>
        <w:t>Fixed maturities included 59 securities with an amortized cost of $785.8 million, gross gains of $7.9 million, gross losses of $6.5 million, valuation allowance of $0.0 million and a carrying amount of $ 787.2 million as of March 31, 2025, that were still pending a review and assignment of a designation by the SVO or NRSRO ratings to be assigned. Due to the timing of when fixed maturities are purchased, legal documents are filed and the review by the SVO is completed, or NRSRO ratings that have expired or been withdrawn, we will always have securities in our portfolio that are unrated over a reporting period. In these instances, an equivalent designation is assigned based on our fixed income analyst’s assessment.</w:t>
      </w:r>
    </w:p>
    <w:p>
      <w:pPr>
        <w:spacing w:after="0" w:line="136" w:lineRule="exact"/>
        <w:rPr>
          <w:sz w:val="20"/>
          <w:szCs w:val="20"/>
          <w:color w:val="auto"/>
        </w:rPr>
      </w:pPr>
    </w:p>
    <w:p>
      <w:pPr>
        <w:ind w:left="2" w:right="380" w:firstLine="57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Mortgage-Backed Securities. </w:t>
      </w:r>
      <w:r>
        <w:rPr>
          <w:rFonts w:ascii="Times New Roman" w:cs="Times New Roman" w:eastAsia="Times New Roman" w:hAnsi="Times New Roman"/>
          <w:sz w:val="16"/>
          <w:szCs w:val="16"/>
          <w:color w:val="auto"/>
        </w:rPr>
        <w:t>As of March 31, 2025, based on amortized cost, 96% of our CMBS portfolio had an NAIC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designation of 1.</w:t>
      </w:r>
    </w:p>
    <w:p>
      <w:pPr>
        <w:spacing w:after="0" w:line="15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color w:val="auto"/>
        </w:rPr>
        <w:t>The following table presents our exposure by credit quality based on NAIC designations for our CMBS portfolio as of the periods indicated.</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2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6"/>
              <w:spacing w:after="0" w:line="13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6"/>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6"/>
              <w:spacing w:after="0" w:line="13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5"/>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70"/>
        </w:trPr>
        <w:tc>
          <w:tcPr>
            <w:tcW w:w="5480" w:type="dxa"/>
            <w:vAlign w:val="bottom"/>
            <w:tcBorders>
              <w:bottom w:val="single" w:sz="8" w:color="auto"/>
            </w:tcBorders>
            <w:gridSpan w:val="2"/>
          </w:tcPr>
          <w:p>
            <w:pPr>
              <w:ind w:left="2240"/>
              <w:spacing w:after="0"/>
              <w:rPr>
                <w:sz w:val="20"/>
                <w:szCs w:val="20"/>
                <w:color w:val="auto"/>
              </w:rPr>
            </w:pPr>
            <w:r>
              <w:rPr>
                <w:rFonts w:ascii="Times New Roman" w:cs="Times New Roman" w:eastAsia="Times New Roman" w:hAnsi="Times New Roman"/>
                <w:sz w:val="13"/>
                <w:szCs w:val="13"/>
                <w:b w:val="1"/>
                <w:bCs w:val="1"/>
                <w:color w:val="auto"/>
              </w:rPr>
              <w:t>NAIC designation</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48"/>
        </w:trPr>
        <w:tc>
          <w:tcPr>
            <w:tcW w:w="2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
              <w:spacing w:after="0" w:line="148" w:lineRule="exact"/>
              <w:rPr>
                <w:sz w:val="20"/>
                <w:szCs w:val="20"/>
                <w:color w:val="auto"/>
              </w:rPr>
            </w:pPr>
            <w:r>
              <w:rPr>
                <w:rFonts w:ascii="Times New Roman" w:cs="Times New Roman" w:eastAsia="Times New Roman" w:hAnsi="Times New Roman"/>
                <w:sz w:val="13"/>
                <w:szCs w:val="13"/>
                <w:i w:val="1"/>
                <w:iCs w:val="1"/>
                <w:color w:val="auto"/>
              </w:rPr>
              <w:t>(in</w:t>
            </w:r>
          </w:p>
        </w:tc>
        <w:tc>
          <w:tcPr>
            <w:tcW w:w="960" w:type="dxa"/>
            <w:vAlign w:val="bottom"/>
            <w:gridSpan w:val="3"/>
          </w:tcPr>
          <w:p>
            <w:pPr>
              <w:jc w:val="right"/>
              <w:ind w:right="466"/>
              <w:spacing w:after="0" w:line="148" w:lineRule="exact"/>
              <w:rPr>
                <w:sz w:val="20"/>
                <w:szCs w:val="20"/>
                <w:color w:val="auto"/>
              </w:rPr>
            </w:pPr>
            <w:r>
              <w:rPr>
                <w:rFonts w:ascii="Times New Roman" w:cs="Times New Roman" w:eastAsia="Times New Roman" w:hAnsi="Times New Roman"/>
                <w:sz w:val="13"/>
                <w:szCs w:val="13"/>
                <w:i w:val="1"/>
                <w:iCs w:val="1"/>
                <w:color w:val="auto"/>
                <w:w w:val="86"/>
              </w:rPr>
              <w:t>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0"/>
        </w:trPr>
        <w:tc>
          <w:tcPr>
            <w:tcW w:w="2320" w:type="dxa"/>
            <w:vAlign w:val="bottom"/>
            <w:shd w:val="clear" w:color="auto" w:fill="CCEEFF"/>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3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4,655.2</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4,369.3</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4,621.8</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4,288.7</w:t>
            </w:r>
          </w:p>
        </w:tc>
      </w:tr>
      <w:tr>
        <w:trPr>
          <w:trHeight w:val="180"/>
        </w:trPr>
        <w:tc>
          <w:tcPr>
            <w:tcW w:w="2320" w:type="dxa"/>
            <w:vAlign w:val="bottom"/>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2</w:t>
            </w: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107.8</w:t>
            </w:r>
          </w:p>
        </w:tc>
      </w:tr>
      <w:tr>
        <w:trPr>
          <w:trHeight w:val="180"/>
        </w:trPr>
        <w:tc>
          <w:tcPr>
            <w:tcW w:w="2320" w:type="dxa"/>
            <w:vAlign w:val="bottom"/>
            <w:shd w:val="clear" w:color="auto" w:fill="CCEEFF"/>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3</w:t>
            </w:r>
          </w:p>
        </w:tc>
        <w:tc>
          <w:tcPr>
            <w:tcW w:w="3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44.2</w:t>
            </w:r>
          </w:p>
        </w:tc>
      </w:tr>
      <w:tr>
        <w:trPr>
          <w:trHeight w:val="180"/>
        </w:trPr>
        <w:tc>
          <w:tcPr>
            <w:tcW w:w="2320" w:type="dxa"/>
            <w:vAlign w:val="bottom"/>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4</w:t>
            </w: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180"/>
        </w:trPr>
        <w:tc>
          <w:tcPr>
            <w:tcW w:w="2320" w:type="dxa"/>
            <w:vAlign w:val="bottom"/>
            <w:shd w:val="clear" w:color="auto" w:fill="CCEEFF"/>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5</w:t>
            </w:r>
          </w:p>
        </w:tc>
        <w:tc>
          <w:tcPr>
            <w:tcW w:w="3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20" w:type="dxa"/>
            <w:vAlign w:val="bottom"/>
            <w:tcBorders>
              <w:bottom w:val="single" w:sz="8" w:color="CCEEFF"/>
            </w:tcBorders>
          </w:tcPr>
          <w:p>
            <w:pPr>
              <w:jc w:val="right"/>
              <w:ind w:right="2163"/>
              <w:spacing w:after="0" w:line="180" w:lineRule="exact"/>
              <w:rPr>
                <w:sz w:val="20"/>
                <w:szCs w:val="20"/>
                <w:color w:val="auto"/>
              </w:rPr>
            </w:pPr>
            <w:r>
              <w:rPr>
                <w:rFonts w:ascii="Times New Roman" w:cs="Times New Roman" w:eastAsia="Times New Roman" w:hAnsi="Times New Roman"/>
                <w:sz w:val="16"/>
                <w:szCs w:val="16"/>
                <w:color w:val="auto"/>
                <w:w w:val="74"/>
              </w:rPr>
              <w:t>6</w:t>
            </w:r>
          </w:p>
        </w:tc>
        <w:tc>
          <w:tcPr>
            <w:tcW w:w="3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72"/>
        </w:trPr>
        <w:tc>
          <w:tcPr>
            <w:tcW w:w="5660" w:type="dxa"/>
            <w:vAlign w:val="bottom"/>
            <w:tcBorders>
              <w:bottom w:val="single" w:sz="8" w:color="CCEEFF"/>
            </w:tcBorders>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4,847.8</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4,530.</w:t>
            </w:r>
            <w:r>
              <w:rPr>
                <w:rFonts w:ascii="Times New Roman" w:cs="Times New Roman" w:eastAsia="Times New Roman" w:hAnsi="Times New Roman"/>
                <w:sz w:val="16"/>
                <w:szCs w:val="16"/>
                <w:b w:val="1"/>
                <w:bCs w:val="1"/>
                <w:u w:val="single" w:color="auto"/>
                <w:color w:val="auto"/>
              </w:rPr>
              <w:t>7</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4,814.5</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4,446.8</w:t>
            </w:r>
          </w:p>
        </w:tc>
      </w:tr>
      <w:tr>
        <w:trPr>
          <w:trHeight w:val="20"/>
        </w:trPr>
        <w:tc>
          <w:tcPr>
            <w:tcW w:w="2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3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r>
    </w:tbl>
    <w:p>
      <w:pPr>
        <w:spacing w:after="0" w:line="59" w:lineRule="exact"/>
        <w:rPr>
          <w:sz w:val="20"/>
          <w:szCs w:val="20"/>
          <w:color w:val="auto"/>
        </w:rPr>
      </w:pPr>
    </w:p>
    <w:p>
      <w:pPr>
        <w:jc w:val="both"/>
        <w:ind w:left="282" w:right="160" w:hanging="282"/>
        <w:spacing w:after="0" w:line="247" w:lineRule="auto"/>
        <w:tabs>
          <w:tab w:leader="none" w:pos="28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Amortized cost amounts of our CMBS portfolio exclude unallocated basis adjustments related to fair value hedges utilizing the portfolio layer method. The CMBS portfolio included agency CMBS with a $596.5 million amortized cost and a $575.7 million carrying amount as of March 31, 2025, and a $616.1 million amortized cost and a $589.9 million carrying amount as of December 31, 2024.</w:t>
      </w: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32" w:name="page133"/>
    <w:bookmarkEnd w:id="13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2" w:right="260" w:firstLine="576"/>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Fixed Maturities Watch List. </w:t>
      </w:r>
      <w:r>
        <w:rPr>
          <w:rFonts w:ascii="Times New Roman" w:cs="Times New Roman" w:eastAsia="Times New Roman" w:hAnsi="Times New Roman"/>
          <w:sz w:val="14"/>
          <w:szCs w:val="14"/>
          <w:color w:val="auto"/>
        </w:rPr>
        <w:t>We monitor any decline in the credit quality of fixed maturities through the designation of “problem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“potential problem securities” and “restructured securities”. We define problem securities in our fixed maturity portfolio as securities:</w:t>
      </w:r>
    </w:p>
    <w:p>
      <w:pPr>
        <w:spacing w:after="0" w:line="1" w:lineRule="exact"/>
        <w:rPr>
          <w:sz w:val="20"/>
          <w:szCs w:val="20"/>
          <w:color w:val="auto"/>
        </w:rPr>
      </w:pPr>
    </w:p>
    <w:p>
      <w:pPr>
        <w:ind w:left="2" w:right="40" w:hanging="2"/>
        <w:spacing w:after="0" w:line="272" w:lineRule="auto"/>
        <w:tabs>
          <w:tab w:leader="none" w:pos="18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principal and/or interest payments in default or where default is perceived to be imminent in the near term, or (ii) issued by a company that went into bankruptcy subsequent to the acquisition of such securities. We define potential problem securities in our fixed maturity portfolio as securities included on an internal “watch list” for which management has concerns as to the ability of the issuer to comply with the present debt payment terms and which may result in the security becoming a problem or being restructured. The decision whether to classify a performing fixed maturity security as a potential problem involves significant subjective judgments by our management as to the likely future industry conditions and developments with respect to the issuer. We define restructured securities in our fixed maturity portfolio as securities where a concession has been granted to the borrower related to the borrower’s financial difficulties that would not have otherwise been considered. We determine that restructures should occur in those instances where greater economic value will be realized under the new terms than through liquidation or other disposition and may involve a change in contractual cash flows. If the present value of the restructured cash flows is less than the current cost of the asset being restructured, a realized capital loss is recorded in net income and a new cost basis is established.</w:t>
      </w:r>
    </w:p>
    <w:p>
      <w:pPr>
        <w:spacing w:after="0" w:line="333" w:lineRule="exact"/>
        <w:rPr>
          <w:sz w:val="20"/>
          <w:szCs w:val="20"/>
          <w:color w:val="auto"/>
        </w:rPr>
      </w:pPr>
    </w:p>
    <w:p>
      <w:pPr>
        <w:ind w:left="2" w:right="48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total carrying amount of our fixed maturities portfolio, as well as its problem, potential problem and restructured fixed maturities for the periods indicated.</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680" w:type="dxa"/>
            <w:vAlign w:val="bottom"/>
            <w:gridSpan w:val="3"/>
          </w:tcPr>
          <w:p>
            <w:pPr>
              <w:jc w:val="right"/>
              <w:ind w:right="121"/>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fixed maturities</w:t>
            </w:r>
          </w:p>
        </w:tc>
        <w:tc>
          <w:tcPr>
            <w:tcW w:w="4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54,626.9</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301"/>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52,960.3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Problem fixed maturities (1)</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92.7</w:t>
            </w:r>
          </w:p>
        </w:tc>
        <w:tc>
          <w:tcPr>
            <w:tcW w:w="20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420" w:type="dxa"/>
            <w:vAlign w:val="bottom"/>
          </w:tcPr>
          <w:p>
            <w:pPr>
              <w:jc w:val="right"/>
              <w:ind w:right="30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76.5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 problem fixed maturities</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67.9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200" w:type="dxa"/>
            <w:vAlign w:val="bottom"/>
            <w:tcBorders>
              <w:bottom w:val="single" w:sz="8" w:color="CCEEFF"/>
            </w:tcBorders>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problem, potential problem and restructured fixed maturities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160.6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200" w:type="dxa"/>
            <w:vAlign w:val="bottom"/>
            <w:gridSpan w:val="2"/>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Total problem, potential problem and restructured fixed maturities as a percent of total fixed</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0.29 %</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maturities</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0.31 %</w:t>
            </w:r>
          </w:p>
        </w:tc>
        <w:tc>
          <w:tcPr>
            <w:tcW w:w="0" w:type="dxa"/>
            <w:vAlign w:val="bottom"/>
          </w:tcPr>
          <w:p>
            <w:pPr>
              <w:spacing w:after="0"/>
              <w:rPr>
                <w:sz w:val="1"/>
                <w:szCs w:val="1"/>
                <w:color w:val="auto"/>
              </w:rPr>
            </w:pPr>
          </w:p>
        </w:tc>
      </w:tr>
      <w:tr>
        <w:trPr>
          <w:trHeight w:val="96"/>
        </w:trPr>
        <w:tc>
          <w:tcPr>
            <w:tcW w:w="232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  The problem fixed maturities carrying amount is net of the credit loss valuation allowance.</w:t>
      </w:r>
    </w:p>
    <w:p>
      <w:pPr>
        <w:spacing w:after="0" w:line="172" w:lineRule="exact"/>
        <w:rPr>
          <w:sz w:val="20"/>
          <w:szCs w:val="20"/>
          <w:color w:val="auto"/>
        </w:rPr>
      </w:pPr>
    </w:p>
    <w:p>
      <w:pPr>
        <w:ind w:left="2" w:right="120" w:firstLine="576"/>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Fixed Maturities Credit Losses. </w:t>
      </w:r>
      <w:r>
        <w:rPr>
          <w:rFonts w:ascii="Times New Roman" w:cs="Times New Roman" w:eastAsia="Times New Roman" w:hAnsi="Times New Roman"/>
          <w:sz w:val="16"/>
          <w:szCs w:val="16"/>
          <w:color w:val="auto"/>
        </w:rPr>
        <w:t>Each reporting period, a group of individuals including the Chief Investment Officer, our Portfolio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Managers, the assigned analysts and representatives from Investment Accounting review all securities to determine whether a credit loss exists. The analysis focuses on each issuer’s ability to service its debts in a timely fashion. Formal documentation of the analysis and our decision is prepared and approved by management. For additional details regarding our process to identify and evaluate securities with credit losses, see Item 1. “Financial Statements, Notes to Unaudited Condensed Consolidated Financial Statements, Note 4, Investments” under the caption, “Allowance for Credit Loss.”</w:t>
      </w:r>
    </w:p>
    <w:p>
      <w:pPr>
        <w:spacing w:after="0" w:line="172" w:lineRule="exact"/>
        <w:rPr>
          <w:sz w:val="20"/>
          <w:szCs w:val="20"/>
          <w:color w:val="auto"/>
        </w:rPr>
      </w:pPr>
    </w:p>
    <w:p>
      <w:pPr>
        <w:ind w:left="2" w:firstLine="576"/>
        <w:spacing w:after="0" w:line="239" w:lineRule="auto"/>
        <w:rPr>
          <w:sz w:val="20"/>
          <w:szCs w:val="20"/>
          <w:color w:val="auto"/>
        </w:rPr>
      </w:pPr>
      <w:r>
        <w:rPr>
          <w:rFonts w:ascii="Times New Roman" w:cs="Times New Roman" w:eastAsia="Times New Roman" w:hAnsi="Times New Roman"/>
          <w:sz w:val="16"/>
          <w:szCs w:val="16"/>
          <w:color w:val="auto"/>
        </w:rPr>
        <w:t>We would not consider a security with unrealized losses to have a decline in value due to credit when it is not our intent to sell the security, it is not more likely than not that we would be required to sell the security before recovery of the amortized cost, which may be maturity, and we expect to recover the amortized cost basis. However, we do sell securities under certain circumstances, such as when we have evidence of a change in the issuer’s creditworthiness, when we anticipate poor relative future performance of securities, when a change in regulatory requirements modifies what constitutes a permissible investment or the maximum level of investments held or when there is an increase in capital requirements or a change in risk weights of debt securities. Sales generate both gains and losses.</w:t>
      </w:r>
    </w:p>
    <w:p>
      <w:pPr>
        <w:spacing w:after="0" w:line="173" w:lineRule="exact"/>
        <w:rPr>
          <w:sz w:val="20"/>
          <w:szCs w:val="20"/>
          <w:color w:val="auto"/>
        </w:rPr>
      </w:pPr>
    </w:p>
    <w:p>
      <w:pPr>
        <w:ind w:left="2" w:right="140" w:firstLine="576"/>
        <w:spacing w:after="0" w:line="239" w:lineRule="auto"/>
        <w:rPr>
          <w:sz w:val="20"/>
          <w:szCs w:val="20"/>
          <w:color w:val="auto"/>
        </w:rPr>
      </w:pPr>
      <w:r>
        <w:rPr>
          <w:rFonts w:ascii="Times New Roman" w:cs="Times New Roman" w:eastAsia="Times New Roman" w:hAnsi="Times New Roman"/>
          <w:sz w:val="16"/>
          <w:szCs w:val="16"/>
          <w:color w:val="auto"/>
        </w:rPr>
        <w:t>A number of significant risks and uncertainties are inherent in the process of monitoring credit losses and determining the allowance for credit loss. These risks and uncertainties include: (1) the risk that our assessment of an issuer’s ability to meet all of its contractual obligations will change based on changes in the credit characteristics of that issuer, (2) the risk that the economic outlook will be worse than expected or have more of an impact on the issuer than anticipated, (3) the risk that our investment professionals are making decisions based on fraudulent or misstated information in the financial statements provided by issuers and (4) the risk that new information obtained by us or changes in other facts and circumstances lead us to change our intent to not sell the security prior to recovery of its amortized cost. Any of these situations could result in a charge to net income in a future period.</w:t>
      </w:r>
    </w:p>
    <w:p>
      <w:pPr>
        <w:spacing w:after="0" w:line="170" w:lineRule="exact"/>
        <w:rPr>
          <w:sz w:val="20"/>
          <w:szCs w:val="20"/>
          <w:color w:val="auto"/>
        </w:rPr>
      </w:pPr>
    </w:p>
    <w:p>
      <w:pPr>
        <w:ind w:left="2" w:right="140" w:firstLine="576"/>
        <w:spacing w:after="0" w:line="259" w:lineRule="auto"/>
        <w:rPr>
          <w:sz w:val="20"/>
          <w:szCs w:val="20"/>
          <w:color w:val="auto"/>
        </w:rPr>
      </w:pPr>
      <w:r>
        <w:rPr>
          <w:rFonts w:ascii="Times New Roman" w:cs="Times New Roman" w:eastAsia="Times New Roman" w:hAnsi="Times New Roman"/>
          <w:sz w:val="16"/>
          <w:szCs w:val="16"/>
          <w:color w:val="auto"/>
        </w:rPr>
        <w:t>The net realized loss relating to the change in the allowance for credit loss and credit related sales of fixed maturities was $5.0 million and $8.1 million for the three months ended March 31, 2025 and 2024, respectively.</w:t>
      </w: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33" w:name="page134"/>
    <w:bookmarkEnd w:id="13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 Maturities Available-For-Sale</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tables present our fixed maturities available-for-sale by industry category, as of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for credit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Banking</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1,775.0</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10.3</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118.7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1,666.6</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Brokerage</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930.5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849.7</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Finance Companies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320.3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303.4</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Financial Other</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1,509.5</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Insurance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2,019.2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1,888.3</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Real estate investment trusts (“REITs”)</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1,731.4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1,593.6</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Basic Industry</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1,340.8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1,284.0</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Capital Goods</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1,526.7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1,442.3</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Communications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2,393.1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2,294.6</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Consumer Cyclical</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983.9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921.4</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Consumer Non-Cyclical</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3,193.0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3,001.8</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Energy</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2,142.7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2,085.8</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Other</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969.7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966.9</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Technology</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1,374.1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1,261.5</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Transportation</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2,283.8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2,177.9</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Utility — Electric</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3,229.8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2,955.0</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Utility — Natural Gas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443.3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394.1</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Utility — Other</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260.6</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Government guaranteed</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8.9</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159.9</w:t>
            </w:r>
          </w:p>
        </w:tc>
        <w:tc>
          <w:tcPr>
            <w:tcW w:w="0" w:type="dxa"/>
            <w:vAlign w:val="bottom"/>
          </w:tcPr>
          <w:p>
            <w:pPr>
              <w:spacing w:after="0"/>
              <w:rPr>
                <w:sz w:val="1"/>
                <w:szCs w:val="1"/>
                <w:color w:val="auto"/>
              </w:rPr>
            </w:pPr>
          </w:p>
        </w:tc>
      </w:tr>
      <w:tr>
        <w:trPr>
          <w:trHeight w:val="172"/>
        </w:trPr>
        <w:tc>
          <w:tcPr>
            <w:tcW w:w="41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corporate securities</w:t>
            </w:r>
          </w:p>
        </w:tc>
        <w:tc>
          <w:tcPr>
            <w:tcW w:w="12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28,706.9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2,059.2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27,016.9</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3,895.8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3,753.9</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4,779.4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4,462.3</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4,579.6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4,240.0</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 — Home equity (1)</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54.7</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 — All other</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2,636.5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2,634.7</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 Credit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 Loans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5,092.4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5,106.9</w:t>
            </w:r>
          </w:p>
        </w:tc>
        <w:tc>
          <w:tcPr>
            <w:tcW w:w="0" w:type="dxa"/>
            <w:vAlign w:val="bottom"/>
          </w:tcPr>
          <w:p>
            <w:pPr>
              <w:spacing w:after="0"/>
              <w:rPr>
                <w:sz w:val="1"/>
                <w:szCs w:val="1"/>
                <w:color w:val="auto"/>
              </w:rPr>
            </w:pPr>
          </w:p>
        </w:tc>
      </w:tr>
      <w:tr>
        <w:trPr>
          <w:trHeight w:val="172"/>
        </w:trPr>
        <w:tc>
          <w:tcPr>
            <w:tcW w:w="412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mortgage-backed and other asset-backed securities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21,055.1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887.2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20,265.1</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1,154.9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1,107.9</w:t>
            </w:r>
          </w:p>
        </w:tc>
        <w:tc>
          <w:tcPr>
            <w:tcW w:w="0" w:type="dxa"/>
            <w:vAlign w:val="bottom"/>
          </w:tcPr>
          <w:p>
            <w:pPr>
              <w:spacing w:after="0"/>
              <w:rPr>
                <w:sz w:val="1"/>
                <w:szCs w:val="1"/>
                <w:color w:val="auto"/>
              </w:rPr>
            </w:pPr>
          </w:p>
        </w:tc>
      </w:tr>
      <w:tr>
        <w:trPr>
          <w:trHeight w:val="180"/>
        </w:trPr>
        <w:tc>
          <w:tcPr>
            <w:tcW w:w="4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5,680.6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754.2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4,940.7</w:t>
            </w: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423.9</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15.7</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388.7</w:t>
            </w:r>
          </w:p>
        </w:tc>
        <w:tc>
          <w:tcPr>
            <w:tcW w:w="0" w:type="dxa"/>
            <w:vAlign w:val="bottom"/>
          </w:tcPr>
          <w:p>
            <w:pPr>
              <w:spacing w:after="0"/>
              <w:rPr>
                <w:sz w:val="1"/>
                <w:szCs w:val="1"/>
                <w:color w:val="auto"/>
              </w:rPr>
            </w:pPr>
          </w:p>
        </w:tc>
      </w:tr>
      <w:tr>
        <w:trPr>
          <w:trHeight w:val="147"/>
        </w:trPr>
        <w:tc>
          <w:tcPr>
            <w:tcW w:w="41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6"/>
                <w:szCs w:val="16"/>
                <w:color w:val="auto"/>
              </w:rPr>
              <w:t>Total fixed maturities, available-for-sale excluding portfolio</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57,021.4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510.6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3,808.2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53,719.3</w:t>
            </w:r>
          </w:p>
        </w:tc>
        <w:tc>
          <w:tcPr>
            <w:tcW w:w="0" w:type="dxa"/>
            <w:vAlign w:val="bottom"/>
          </w:tcPr>
          <w:p>
            <w:pPr>
              <w:spacing w:after="0"/>
              <w:rPr>
                <w:sz w:val="1"/>
                <w:szCs w:val="1"/>
                <w:color w:val="auto"/>
              </w:rPr>
            </w:pPr>
          </w:p>
        </w:tc>
      </w:tr>
      <w:tr>
        <w:trPr>
          <w:trHeight w:val="19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layer method basis adjustment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Unallocated portfolio layer method basis adjustment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2"/>
        </w:trPr>
        <w:tc>
          <w:tcPr>
            <w:tcW w:w="41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56,983.9</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548.1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3,808.2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4.5</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53,719.3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This exposure is all related to sub-prime mortgage loans.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34" w:name="page135"/>
    <w:bookmarkEnd w:id="13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3"/>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4"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6"/>
        </w:trPr>
        <w:tc>
          <w:tcPr>
            <w:tcW w:w="2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for credit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0"/>
        </w:trPr>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36"/>
        </w:trPr>
        <w:tc>
          <w:tcPr>
            <w:tcW w:w="2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Banking</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1,814.7</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133.8</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1,688.1</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Brokerage</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798.1</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Finance Companies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325.2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306.7</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Financial Other</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1,447.3</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Finance — Insurance</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1,967.1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1,817.3</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Finance — REITs</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1,809.7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1,662.0</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Basic Industry</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1,277.8</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Capital Goods</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1,335.4</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Communications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2,304.4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169.9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2,183.7</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Consumer Cyclical</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870.0</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Consumer Non-Cyclical</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3,081.7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228.7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2,859.0</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Energy</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1,999.7</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Other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908.4</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Industrial — Technology</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1,268.9</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Industrial — Transportation</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2,226.8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2,116.5</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Utility — Electric</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3,173.7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2,868.3</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Utility — Natural Gas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395.4</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Utility — Other</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208.8</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Government guaranteed</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167.8</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158.7</w:t>
            </w:r>
          </w:p>
        </w:tc>
      </w:tr>
      <w:tr>
        <w:trPr>
          <w:trHeight w:val="172"/>
        </w:trPr>
        <w:tc>
          <w:tcPr>
            <w:tcW w:w="41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corporate securities</w:t>
            </w:r>
          </w:p>
        </w:tc>
        <w:tc>
          <w:tcPr>
            <w:tcW w:w="10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28,085.9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324.9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2,224.6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26,170.1</w:t>
            </w:r>
          </w:p>
        </w:tc>
      </w:tr>
      <w:tr>
        <w:trPr>
          <w:trHeight w:val="180"/>
        </w:trPr>
        <w:tc>
          <w:tcPr>
            <w:tcW w:w="23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3,870.1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3,664.6</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4,770.3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370.5</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4,402.6</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Residential collateralized mortgage obligations</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4,432.7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4,019.0</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 — Home equity (1)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55.3</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Asset-backed securities — All other</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2,696.3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2,677.8</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 Credit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r>
      <w:tr>
        <w:trPr>
          <w:trHeight w:val="180"/>
        </w:trPr>
        <w:tc>
          <w:tcPr>
            <w:tcW w:w="41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 Loans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4,958.7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4,981.4</w:t>
            </w:r>
          </w:p>
        </w:tc>
      </w:tr>
      <w:tr>
        <w:trPr>
          <w:trHeight w:val="172"/>
        </w:trPr>
        <w:tc>
          <w:tcPr>
            <w:tcW w:w="414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mortgage-backed and other asset-backed securities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20,801.3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1,061.3</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19,812.4</w:t>
            </w:r>
          </w:p>
        </w:tc>
      </w:tr>
      <w:tr>
        <w:trPr>
          <w:trHeight w:val="180"/>
        </w:trPr>
        <w:tc>
          <w:tcPr>
            <w:tcW w:w="2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1,197.6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95.2</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1,102.6</w:t>
            </w:r>
          </w:p>
        </w:tc>
      </w:tr>
      <w:tr>
        <w:trPr>
          <w:trHeight w:val="180"/>
        </w:trPr>
        <w:tc>
          <w:tcPr>
            <w:tcW w:w="41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809.2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4,835.3</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435.4</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392.1</w:t>
            </w:r>
          </w:p>
        </w:tc>
      </w:tr>
      <w:tr>
        <w:trPr>
          <w:trHeight w:val="147"/>
        </w:trPr>
        <w:tc>
          <w:tcPr>
            <w:tcW w:w="41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6"/>
                <w:szCs w:val="16"/>
                <w:color w:val="auto"/>
              </w:rPr>
              <w:t>Total fixed maturities, available-for-sale excluding portfolio</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5"/>
        </w:trPr>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layer method basis adjustment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52,312.5</w:t>
            </w:r>
          </w:p>
        </w:tc>
      </w:tr>
      <w:tr>
        <w:trPr>
          <w:trHeight w:val="180"/>
        </w:trPr>
        <w:tc>
          <w:tcPr>
            <w:tcW w:w="41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Unallocated portfolio layer method basis adjustment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41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56,098.7</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476.3</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4,246.2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52,312.5</w:t>
            </w:r>
          </w:p>
        </w:tc>
      </w:tr>
      <w:tr>
        <w:trPr>
          <w:trHeight w:val="20"/>
        </w:trPr>
        <w:tc>
          <w:tcPr>
            <w:tcW w:w="2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This exposure is all related to sub-prime mortgage loans.</w:t>
      </w:r>
    </w:p>
    <w:p>
      <w:pPr>
        <w:spacing w:after="0" w:line="188" w:lineRule="exact"/>
        <w:rPr>
          <w:sz w:val="20"/>
          <w:szCs w:val="20"/>
          <w:color w:val="auto"/>
        </w:rPr>
      </w:pPr>
    </w:p>
    <w:p>
      <w:pPr>
        <w:ind w:right="120" w:firstLine="576"/>
        <w:spacing w:after="0" w:line="239" w:lineRule="auto"/>
        <w:rPr>
          <w:sz w:val="20"/>
          <w:szCs w:val="20"/>
          <w:color w:val="auto"/>
        </w:rPr>
      </w:pPr>
      <w:r>
        <w:rPr>
          <w:rFonts w:ascii="Times New Roman" w:cs="Times New Roman" w:eastAsia="Times New Roman" w:hAnsi="Times New Roman"/>
          <w:sz w:val="16"/>
          <w:szCs w:val="16"/>
          <w:color w:val="auto"/>
        </w:rPr>
        <w:t>Of the $3,808.2 million in gross unrealized losses as of March 31, 2025, $4.9 million in losses were attributed to securities scheduled to mature in one year or less, $197.9 million attributed to securities scheduled to mature between one to five years, $466.1 million attributed to securities scheduled to mature between five to ten years, $2,252.1 million attributed to securities scheduled to mature after ten years and $887.2 million related to mortgage-backed and other ABS that are not classified by maturity year. As of March 31, 2025, we were in a $3,260.1 million net unrealized loss position as compared to a $3,769.9 million net unrealized loss position as of December 31, 2024. The $509.8 million decrease in net unrealized losses for the three months ended March 31, 2025, can be attributed to a decrease in interest rates, which was partially offset by a widening of credit spreads.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35" w:name="page136"/>
    <w:bookmarkEnd w:id="135"/>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2" w:right="100" w:firstLine="576"/>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Fixed Maturities Available-For-Sale Unrealized Losses. </w:t>
      </w:r>
      <w:r>
        <w:rPr>
          <w:rFonts w:ascii="Times New Roman" w:cs="Times New Roman" w:eastAsia="Times New Roman" w:hAnsi="Times New Roman"/>
          <w:sz w:val="14"/>
          <w:szCs w:val="14"/>
          <w:color w:val="auto"/>
        </w:rPr>
        <w:t>We believe our long-term fixed maturities portfolio is well diversified among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industry types and between publicly traded and privately placed securities. Each year, we direct the majority of our net cash inflows into investment grade fixed maturities. Our current policy is to limit the percentage of fixed maturities invested in below investment grade assets to 15%.</w:t>
      </w:r>
    </w:p>
    <w:p>
      <w:pPr>
        <w:spacing w:after="0" w:line="128" w:lineRule="exact"/>
        <w:rPr>
          <w:sz w:val="20"/>
          <w:szCs w:val="20"/>
          <w:color w:val="auto"/>
        </w:rPr>
      </w:pPr>
    </w:p>
    <w:p>
      <w:pPr>
        <w:ind w:left="2" w:right="80" w:firstLine="576"/>
        <w:spacing w:after="0" w:line="243" w:lineRule="auto"/>
        <w:rPr>
          <w:sz w:val="20"/>
          <w:szCs w:val="20"/>
          <w:color w:val="auto"/>
        </w:rPr>
      </w:pPr>
      <w:r>
        <w:rPr>
          <w:rFonts w:ascii="Times New Roman" w:cs="Times New Roman" w:eastAsia="Times New Roman" w:hAnsi="Times New Roman"/>
          <w:sz w:val="16"/>
          <w:szCs w:val="16"/>
          <w:color w:val="auto"/>
        </w:rPr>
        <w:t>We invest in privately placed fixed maturities to enhance the overall value of the portfolio, increase diversification and obtain higher yields than are possible with comparable quality public market securities. Generally, private placements provide broader access to management information, strengthened negotiated protective covenants, call protection features and, where applicable, a higher level of collateral. They are, however, generally not freely tradable because of restrictions imposed by U.S. federal and state securities laws and illiquid trading markets.</w:t>
      </w:r>
    </w:p>
    <w:p>
      <w:pPr>
        <w:spacing w:after="0" w:line="167" w:lineRule="exact"/>
        <w:rPr>
          <w:sz w:val="20"/>
          <w:szCs w:val="20"/>
          <w:color w:val="auto"/>
        </w:rPr>
      </w:pPr>
    </w:p>
    <w:p>
      <w:pPr>
        <w:ind w:left="2" w:right="420" w:firstLine="576"/>
        <w:spacing w:after="0" w:line="259" w:lineRule="auto"/>
        <w:rPr>
          <w:sz w:val="20"/>
          <w:szCs w:val="20"/>
          <w:color w:val="auto"/>
        </w:rPr>
      </w:pPr>
      <w:r>
        <w:rPr>
          <w:rFonts w:ascii="Times New Roman" w:cs="Times New Roman" w:eastAsia="Times New Roman" w:hAnsi="Times New Roman"/>
          <w:sz w:val="16"/>
          <w:szCs w:val="16"/>
          <w:color w:val="auto"/>
        </w:rPr>
        <w:t>The following table presents our fixed maturities available-for-sale by investment grade and below investment grade as of the periods indicated.</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1"/>
                <w:szCs w:val="11"/>
                <w:color w:val="auto"/>
              </w:rPr>
            </w:pPr>
          </w:p>
        </w:tc>
        <w:tc>
          <w:tcPr>
            <w:tcW w:w="6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54"/>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4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for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for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780" w:type="dxa"/>
            <w:vAlign w:val="bottom"/>
            <w:gridSpan w:val="3"/>
          </w:tcPr>
          <w:p>
            <w:pPr>
              <w:jc w:val="right"/>
              <w:ind w:right="314"/>
              <w:spacing w:after="0" w:line="136" w:lineRule="exact"/>
              <w:rPr>
                <w:sz w:val="20"/>
                <w:szCs w:val="20"/>
                <w:color w:val="auto"/>
              </w:rPr>
            </w:pPr>
            <w:r>
              <w:rPr>
                <w:rFonts w:ascii="Times New Roman" w:cs="Times New Roman" w:eastAsia="Times New Roman" w:hAnsi="Times New Roman"/>
                <w:sz w:val="13"/>
                <w:szCs w:val="13"/>
                <w:i w:val="1"/>
                <w:iCs w:val="1"/>
                <w:color w:val="auto"/>
                <w:w w:val="82"/>
              </w:rPr>
              <w:t>millions)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grade: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Public</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41,025.2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2,927.5</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38,394.6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37,732.9</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13,306.2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765.1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12,733.8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12,038.9</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Below investment grade: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1,046.5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951.1</w:t>
            </w:r>
          </w:p>
        </w:tc>
        <w:tc>
          <w:tcPr>
            <w:tcW w:w="0" w:type="dxa"/>
            <w:vAlign w:val="bottom"/>
          </w:tcPr>
          <w:p>
            <w:pPr>
              <w:spacing w:after="0"/>
              <w:rPr>
                <w:sz w:val="1"/>
                <w:szCs w:val="1"/>
                <w:color w:val="auto"/>
              </w:rPr>
            </w:pPr>
          </w:p>
        </w:tc>
      </w:tr>
      <w:tr>
        <w:trPr>
          <w:trHeight w:val="156"/>
        </w:trPr>
        <w:tc>
          <w:tcPr>
            <w:tcW w:w="1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Private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1,643.5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25.7</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1,626.7</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1,612.3</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0" w:type="dxa"/>
            <w:vAlign w:val="bottom"/>
          </w:tcPr>
          <w:p>
            <w:pPr>
              <w:spacing w:after="0"/>
              <w:rPr>
                <w:sz w:val="1"/>
                <w:szCs w:val="1"/>
                <w:color w:val="auto"/>
              </w:rPr>
            </w:pPr>
          </w:p>
        </w:tc>
      </w:tr>
      <w:tr>
        <w:trPr>
          <w:trHeight w:val="124"/>
        </w:trPr>
        <w:tc>
          <w:tcPr>
            <w:tcW w:w="18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Total fixed maturities,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57,021.4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510.6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3,808.2</w:t>
            </w:r>
          </w:p>
        </w:tc>
        <w:tc>
          <w:tcPr>
            <w:tcW w:w="28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53,719.3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56,154.4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4,246.2</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52,312.5</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available-for-sale (1)</w:t>
            </w:r>
          </w:p>
        </w:tc>
        <w:tc>
          <w:tcPr>
            <w:tcW w:w="10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82" w:hanging="282"/>
        <w:spacing w:after="0"/>
        <w:tabs>
          <w:tab w:leader="none" w:pos="282"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unallocated basis adjustments related to fair value hedges utilizing the portfolio layer method.</w:t>
      </w:r>
    </w:p>
    <w:p>
      <w:pPr>
        <w:spacing w:after="0" w:line="197" w:lineRule="exact"/>
        <w:rPr>
          <w:sz w:val="20"/>
          <w:szCs w:val="20"/>
          <w:color w:val="auto"/>
        </w:rPr>
      </w:pPr>
    </w:p>
    <w:p>
      <w:pPr>
        <w:jc w:val="both"/>
        <w:ind w:left="2" w:right="380" w:firstLine="576"/>
        <w:spacing w:after="0" w:line="331" w:lineRule="auto"/>
        <w:rPr>
          <w:sz w:val="20"/>
          <w:szCs w:val="20"/>
          <w:color w:val="auto"/>
        </w:rPr>
      </w:pPr>
      <w:r>
        <w:rPr>
          <w:rFonts w:ascii="Times New Roman" w:cs="Times New Roman" w:eastAsia="Times New Roman" w:hAnsi="Times New Roman"/>
          <w:sz w:val="14"/>
          <w:szCs w:val="14"/>
          <w:color w:val="auto"/>
        </w:rPr>
        <w:t>Included in the public category carrying amount as of March 31, 2025 and December 31, 2024, were $15,852.3 million and $15,165.7 million, respectively, of securities subject to certain holding periods and resale restrictions pursuant to Rule 144A of the Securities Act of 1933.</w:t>
      </w:r>
    </w:p>
    <w:p>
      <w:pPr>
        <w:spacing w:after="0" w:line="200" w:lineRule="exact"/>
        <w:rPr>
          <w:sz w:val="20"/>
          <w:szCs w:val="20"/>
          <w:color w:val="auto"/>
        </w:rPr>
      </w:pPr>
    </w:p>
    <w:p>
      <w:pPr>
        <w:spacing w:after="0" w:line="2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36" w:name="page137"/>
    <w:bookmarkEnd w:id="136"/>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2" w:right="60" w:firstLine="576"/>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and the gross unrealized losses on our fixed maturities available-for -sale for which an allowance for credit loss has not been recorded by investment category and length of time that individual securities have been in a continuous unrealized loss position as of March 31, 2025 and December 31, 2024, respectively.</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4"/>
          </w:tcPr>
          <w:p>
            <w:pPr>
              <w:jc w:val="right"/>
              <w:ind w:right="525"/>
              <w:spacing w:after="0" w:line="13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right"/>
              <w:ind w:right="365"/>
              <w:spacing w:after="0" w:line="134" w:lineRule="exact"/>
              <w:rPr>
                <w:sz w:val="20"/>
                <w:szCs w:val="20"/>
                <w:color w:val="auto"/>
              </w:rPr>
            </w:pPr>
            <w:r>
              <w:rPr>
                <w:rFonts w:ascii="Times New Roman" w:cs="Times New Roman" w:eastAsia="Times New Roman" w:hAnsi="Times New Roman"/>
                <w:sz w:val="13"/>
                <w:szCs w:val="13"/>
                <w:b w:val="1"/>
                <w:bCs w:val="1"/>
                <w:color w:val="auto"/>
              </w:rPr>
              <w:t>Greater than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twelve months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equal to twelve months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r>
      <w:tr>
        <w:trPr>
          <w:trHeight w:val="156"/>
        </w:trPr>
        <w:tc>
          <w:tcPr>
            <w:tcW w:w="2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36"/>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7"/>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960" w:type="dxa"/>
            <w:vAlign w:val="bottom"/>
            <w:gridSpan w:val="3"/>
          </w:tcPr>
          <w:p>
            <w:pPr>
              <w:jc w:val="center"/>
              <w:ind w:right="465"/>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80"/>
        </w:trPr>
        <w:tc>
          <w:tcPr>
            <w:tcW w:w="37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60" w:type="dxa"/>
            <w:vAlign w:val="bottom"/>
            <w:gridSpan w:val="2"/>
          </w:tcPr>
          <w:p>
            <w:pPr>
              <w:jc w:val="right"/>
              <w:ind w:right="24"/>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155.3</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w:t>
            </w:r>
          </w:p>
        </w:tc>
        <w:tc>
          <w:tcPr>
            <w:tcW w:w="3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409.4</w:t>
            </w:r>
          </w:p>
        </w:tc>
        <w:tc>
          <w:tcPr>
            <w:tcW w:w="260" w:type="dxa"/>
            <w:vAlign w:val="bottom"/>
            <w:gridSpan w:val="2"/>
          </w:tcPr>
          <w:p>
            <w:pPr>
              <w:jc w:val="center"/>
              <w:ind w:left="68"/>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54.3</w:t>
            </w:r>
          </w:p>
        </w:tc>
        <w:tc>
          <w:tcPr>
            <w:tcW w:w="3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564.7</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56.7</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201.6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233.7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50.9</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3,604.6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735.8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4,346.5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754.2</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2,842.0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14,076.2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2,004.4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16,918.2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2,058.0</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1,212.2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154.7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163.8</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502.8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3,133.9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318.9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3,636.7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323.4</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752.8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765.4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5.6</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664.8</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5.3</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2,788.0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388.8</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3,452.8</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394.1</w:t>
            </w:r>
          </w:p>
        </w:tc>
      </w:tr>
      <w:tr>
        <w:trPr>
          <w:trHeight w:val="172"/>
        </w:trPr>
        <w:tc>
          <w:tcPr>
            <w:tcW w:w="37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6,663.1</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95.7</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25,438.5</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3,711.0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32,101.6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3,806.7</w:t>
            </w:r>
          </w:p>
        </w:tc>
      </w:tr>
      <w:tr>
        <w:trPr>
          <w:trHeight w:val="20"/>
        </w:trPr>
        <w:tc>
          <w:tcPr>
            <w:tcW w:w="2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59" w:lineRule="exact"/>
        <w:rPr>
          <w:sz w:val="20"/>
          <w:szCs w:val="20"/>
          <w:color w:val="auto"/>
        </w:rPr>
      </w:pPr>
    </w:p>
    <w:p>
      <w:pPr>
        <w:ind w:left="282" w:right="280" w:hanging="282"/>
        <w:spacing w:after="0" w:line="246" w:lineRule="auto"/>
        <w:tabs>
          <w:tab w:leader="none" w:pos="28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and gross unrealized losses are excluded for available-for-sale securities for which an allowance for credit loss has been recorded. Gross unrealized losses exclude unallocated basis adjustments related to fair value hedges utilizing the portfolio layer method.</w:t>
      </w:r>
    </w:p>
    <w:p>
      <w:pPr>
        <w:ind w:left="282" w:hanging="282"/>
        <w:spacing w:after="0"/>
        <w:tabs>
          <w:tab w:leader="none" w:pos="28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4"/>
          </w:tcPr>
          <w:p>
            <w:pPr>
              <w:jc w:val="right"/>
              <w:ind w:right="525"/>
              <w:spacing w:after="0" w:line="13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4"/>
          </w:tcPr>
          <w:p>
            <w:pPr>
              <w:jc w:val="right"/>
              <w:ind w:right="365"/>
              <w:spacing w:after="0" w:line="134" w:lineRule="exact"/>
              <w:rPr>
                <w:sz w:val="20"/>
                <w:szCs w:val="20"/>
                <w:color w:val="auto"/>
              </w:rPr>
            </w:pPr>
            <w:r>
              <w:rPr>
                <w:rFonts w:ascii="Times New Roman" w:cs="Times New Roman" w:eastAsia="Times New Roman" w:hAnsi="Times New Roman"/>
                <w:sz w:val="13"/>
                <w:szCs w:val="13"/>
                <w:b w:val="1"/>
                <w:bCs w:val="1"/>
                <w:color w:val="auto"/>
              </w:rPr>
              <w:t>Greater than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twelve months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equal to twelve months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tcPr>
          <w:p>
            <w:pPr>
              <w:spacing w:after="0"/>
              <w:rPr>
                <w:sz w:val="14"/>
                <w:szCs w:val="14"/>
                <w:color w:val="auto"/>
              </w:rPr>
            </w:pPr>
          </w:p>
        </w:tc>
      </w:tr>
      <w:tr>
        <w:trPr>
          <w:trHeight w:val="134"/>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5"/>
              <w:spacing w:after="0" w:line="134" w:lineRule="exact"/>
              <w:rPr>
                <w:sz w:val="20"/>
                <w:szCs w:val="20"/>
                <w:color w:val="auto"/>
              </w:rPr>
            </w:pPr>
            <w:r>
              <w:rPr>
                <w:rFonts w:ascii="Times New Roman" w:cs="Times New Roman" w:eastAsia="Times New Roman" w:hAnsi="Times New Roman"/>
                <w:sz w:val="13"/>
                <w:szCs w:val="13"/>
                <w:b w:val="1"/>
                <w:bCs w:val="1"/>
                <w:color w:val="auto"/>
                <w:w w:val="98"/>
              </w:rPr>
              <w:t>Gross</w:t>
            </w:r>
          </w:p>
        </w:tc>
      </w:tr>
      <w:tr>
        <w:trPr>
          <w:trHeight w:val="156"/>
        </w:trPr>
        <w:tc>
          <w:tcPr>
            <w:tcW w:w="2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unrealized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36"/>
        </w:trPr>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7"/>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960" w:type="dxa"/>
            <w:vAlign w:val="bottom"/>
            <w:gridSpan w:val="3"/>
          </w:tcPr>
          <w:p>
            <w:pPr>
              <w:jc w:val="center"/>
              <w:ind w:right="465"/>
              <w:spacing w:after="0" w:line="136" w:lineRule="exact"/>
              <w:rPr>
                <w:sz w:val="20"/>
                <w:szCs w:val="20"/>
                <w:color w:val="auto"/>
              </w:rPr>
            </w:pPr>
            <w:r>
              <w:rPr>
                <w:rFonts w:ascii="Times New Roman" w:cs="Times New Roman" w:eastAsia="Times New Roman" w:hAnsi="Times New Roman"/>
                <w:sz w:val="13"/>
                <w:szCs w:val="13"/>
                <w:i w:val="1"/>
                <w:iCs w:val="1"/>
                <w:color w:val="auto"/>
                <w:w w:val="90"/>
              </w:rPr>
              <w:t>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80"/>
        </w:trPr>
        <w:tc>
          <w:tcPr>
            <w:tcW w:w="37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 available-for-sale (1):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U.S. government and agencies</w:t>
            </w:r>
          </w:p>
        </w:tc>
        <w:tc>
          <w:tcPr>
            <w:tcW w:w="160" w:type="dxa"/>
            <w:vAlign w:val="bottom"/>
            <w:gridSpan w:val="2"/>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641.2</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3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543.2</w:t>
            </w:r>
          </w:p>
        </w:tc>
        <w:tc>
          <w:tcPr>
            <w:tcW w:w="260" w:type="dxa"/>
            <w:vAlign w:val="bottom"/>
            <w:gridSpan w:val="2"/>
          </w:tcPr>
          <w:p>
            <w:pPr>
              <w:jc w:val="center"/>
              <w:ind w:left="68"/>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3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1,184.4</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95.9</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Non-U.S. governments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239.9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55.8</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States and political subdivisions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704.7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785.6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4,257.0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809.4</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3,289.0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14,243.8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2,157.9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17,532.8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2,223.6</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Residential mortgage-backed pass-through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1,938.4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214.2</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Commercial mortgage-backed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676.9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3,157.3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362.4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3,834.2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370.5</w:t>
            </w:r>
          </w:p>
        </w:tc>
      </w:tr>
      <w:tr>
        <w:trPr>
          <w:trHeight w:val="180"/>
        </w:trPr>
        <w:tc>
          <w:tcPr>
            <w:tcW w:w="37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Collateralized debt obligations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370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debt obligations</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1,363.1</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2,799.2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453.0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4,162.3</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470.1</w:t>
            </w:r>
          </w:p>
        </w:tc>
      </w:tr>
      <w:tr>
        <w:trPr>
          <w:trHeight w:val="172"/>
        </w:trPr>
        <w:tc>
          <w:tcPr>
            <w:tcW w:w="37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fixed maturities, available-for-sale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8,905.7</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163.1</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25,744.2</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4,081.7</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34,649.9</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4,244.8</w:t>
            </w:r>
          </w:p>
        </w:tc>
      </w:tr>
      <w:tr>
        <w:trPr>
          <w:trHeight w:val="20"/>
        </w:trPr>
        <w:tc>
          <w:tcPr>
            <w:tcW w:w="2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59" w:lineRule="exact"/>
        <w:rPr>
          <w:sz w:val="20"/>
          <w:szCs w:val="20"/>
          <w:color w:val="auto"/>
        </w:rPr>
      </w:pPr>
    </w:p>
    <w:p>
      <w:pPr>
        <w:ind w:left="282" w:right="280" w:hanging="282"/>
        <w:spacing w:after="0" w:line="246" w:lineRule="auto"/>
        <w:tabs>
          <w:tab w:leader="none" w:pos="28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and gross unrealized losses are excluded for available-for-sale securities for which an allowance for credit loss has been recorded. Gross unrealized losses exclude unallocated basis adjustments related to fair value hedges utilizing the portfolio layer method.</w:t>
      </w:r>
    </w:p>
    <w:p>
      <w:pPr>
        <w:ind w:left="282" w:hanging="282"/>
        <w:spacing w:after="0"/>
        <w:tabs>
          <w:tab w:leader="none" w:pos="28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collateralized loan obligations backed by secured corporate loans.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37" w:name="page138"/>
    <w:bookmarkEnd w:id="13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Mortgage Loans</w:t>
      </w:r>
    </w:p>
    <w:p>
      <w:pPr>
        <w:spacing w:after="0" w:line="192"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Mortgage loans consist of commercial mortgage loans on real estate and residential mortgage loans. For further details about residential mortgage loans, see Item 1. “Financial Statements, Notes to Unaudited Condensed Consolidated Financial Statements, Note 4, Investments” under the caption, “Financing Receivables.”</w:t>
      </w:r>
    </w:p>
    <w:p>
      <w:pPr>
        <w:spacing w:after="0" w:line="160" w:lineRule="exact"/>
        <w:rPr>
          <w:sz w:val="20"/>
          <w:szCs w:val="20"/>
          <w:color w:val="auto"/>
        </w:rPr>
      </w:pPr>
    </w:p>
    <w:p>
      <w:pPr>
        <w:ind w:firstLine="57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Mortgage Loans. </w:t>
      </w:r>
      <w:r>
        <w:rPr>
          <w:rFonts w:ascii="Times New Roman" w:cs="Times New Roman" w:eastAsia="Times New Roman" w:hAnsi="Times New Roman"/>
          <w:sz w:val="16"/>
          <w:szCs w:val="16"/>
          <w:color w:val="auto"/>
        </w:rPr>
        <w:t>We generally report commercial mortgage loans on real estate at cost adjusted for amortization of premiums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accrual of discounts, computed using the interest method and net of valuation allowances.</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Commercial mortgage loans play an important role in our investment strategy by:</w:t>
      </w:r>
    </w:p>
    <w:p>
      <w:pPr>
        <w:spacing w:after="0" w:line="188" w:lineRule="exact"/>
        <w:rPr>
          <w:sz w:val="20"/>
          <w:szCs w:val="20"/>
          <w:color w:val="auto"/>
        </w:rPr>
      </w:pPr>
    </w:p>
    <w:p>
      <w:pPr>
        <w:ind w:left="860" w:hanging="286"/>
        <w:spacing w:after="0"/>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strong risk-adjusted relative value in comparison to other investment alternatives;</w:t>
      </w:r>
    </w:p>
    <w:p>
      <w:pPr>
        <w:spacing w:after="0" w:line="14"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total returns and</w:t>
      </w:r>
    </w:p>
    <w:p>
      <w:pPr>
        <w:ind w:left="860" w:hanging="286"/>
        <w:spacing w:after="0"/>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strategic portfolio diversification.</w:t>
      </w:r>
    </w:p>
    <w:p>
      <w:pPr>
        <w:spacing w:after="0" w:line="170" w:lineRule="exact"/>
        <w:rPr>
          <w:sz w:val="20"/>
          <w:szCs w:val="20"/>
          <w:color w:val="auto"/>
        </w:rPr>
      </w:pPr>
    </w:p>
    <w:p>
      <w:pPr>
        <w:jc w:val="both"/>
        <w:ind w:right="380" w:firstLine="576"/>
        <w:spacing w:after="0" w:line="331" w:lineRule="auto"/>
        <w:rPr>
          <w:sz w:val="20"/>
          <w:szCs w:val="20"/>
          <w:color w:val="auto"/>
        </w:rPr>
      </w:pPr>
      <w:r>
        <w:rPr>
          <w:rFonts w:ascii="Times New Roman" w:cs="Times New Roman" w:eastAsia="Times New Roman" w:hAnsi="Times New Roman"/>
          <w:sz w:val="14"/>
          <w:szCs w:val="14"/>
          <w:color w:val="auto"/>
        </w:rPr>
        <w:t>As a result, we have focused on constructing a high quality portfolio of mortgages. Our portfolio is generally comprised of mortgages originated with conservative loan-to-value ratios, high debt service coverages and general purpose property types with a strong credit tenancy.</w:t>
      </w:r>
    </w:p>
    <w:p>
      <w:pPr>
        <w:spacing w:after="0" w:line="108" w:lineRule="exact"/>
        <w:rPr>
          <w:sz w:val="20"/>
          <w:szCs w:val="20"/>
          <w:color w:val="auto"/>
        </w:rPr>
      </w:pPr>
    </w:p>
    <w:p>
      <w:pPr>
        <w:ind w:right="180" w:firstLine="576"/>
        <w:spacing w:after="0" w:line="247" w:lineRule="auto"/>
        <w:rPr>
          <w:sz w:val="20"/>
          <w:szCs w:val="20"/>
          <w:color w:val="auto"/>
        </w:rPr>
      </w:pPr>
      <w:r>
        <w:rPr>
          <w:rFonts w:ascii="Times New Roman" w:cs="Times New Roman" w:eastAsia="Times New Roman" w:hAnsi="Times New Roman"/>
          <w:sz w:val="16"/>
          <w:szCs w:val="16"/>
          <w:color w:val="auto"/>
        </w:rPr>
        <w:t>Our commercial mortgage loan portfolio consists primarily of non-recourse, fixed rate mortgages on fully or near fully leased properties. The mortgage portfolio is comprised primarily of office properties, apartments, well-anchored retail properties and general-purpose industrial properties.</w:t>
      </w:r>
    </w:p>
    <w:p>
      <w:pPr>
        <w:spacing w:after="0" w:line="164"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Our commercial mortgage loan portfolio is diversified by geography and specific collateral property type. Commercial mortgage lending in the state of California accounted for 23% and 24% of our commercial mortgage loan portfolio before valuation allowance as of March 31, 2025 and December 31, 2024, respectively. We are, therefore, exposed to potential losses resulting from the risk of catastrophes, including but not limited to earthquakes, fires, drought, extreme heat, flooding, and tsunamis, that may affect the region. For the years ended March 31, 2025 and December 31, 2024, we did not experience any material losses due to the aforementioned catastrophe risks.</w:t>
      </w:r>
    </w:p>
    <w:p>
      <w:pPr>
        <w:spacing w:after="0" w:line="169"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The typical borrower in our commercial mortgage loan portfolio is a single purpose entity or single asset entity. As of March 31, 2025 and December 31, 2024, the total number of commercial mortgage loans outstanding were 608 and 620, of which 36% and 35% were for loans with principal balances less than $10.0 million as of March 31, 2025 and December 31, 2024, respectively. The average loan size of our commercial mortgage portfolio was $23.1 million and $23.2 million as of March 31, 2025 and December 31, 2024, respectively.</w:t>
      </w:r>
    </w:p>
    <w:p>
      <w:pPr>
        <w:spacing w:after="0" w:line="163" w:lineRule="exact"/>
        <w:rPr>
          <w:sz w:val="20"/>
          <w:szCs w:val="20"/>
          <w:color w:val="auto"/>
        </w:rPr>
      </w:pPr>
    </w:p>
    <w:p>
      <w:pPr>
        <w:jc w:val="both"/>
        <w:ind w:right="340" w:firstLine="576"/>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Mortgage Loan Credit Monitoring. </w:t>
      </w:r>
      <w:r>
        <w:rPr>
          <w:rFonts w:ascii="Times New Roman" w:cs="Times New Roman" w:eastAsia="Times New Roman" w:hAnsi="Times New Roman"/>
          <w:sz w:val="16"/>
          <w:szCs w:val="16"/>
          <w:color w:val="auto"/>
        </w:rPr>
        <w:t>For further details on monitoring and management of our commercial mortgage loan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portfolio, see Item 1. “Financial Statements, Notes to Unaudited Condensed Consolidated Financial Statements, Note 4, Investments” under the caption, “Financing Receivables Credit Monitoring.”</w:t>
      </w:r>
    </w:p>
    <w:p>
      <w:pPr>
        <w:spacing w:after="0" w:line="164"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We categorize loans that are 60 days or more delinquent, loans in process of foreclosure and loans with borrowers or credit tenants in bankruptcy that are delinquent as “problem” loans. We categorize loans that are delinquent less than 60 days where the default is expected to be cured and loans with borrowers or credit tenants in bankruptcy that are current as “potential problem” loans. The decision whether to classify a loan delinquent less than 60 days as a potential problem involves significant subjective judgments by management as to the likely future economic conditions and developments with respect to the borrower. We categorize loans for which the original note rate has been reduced below market and loans for which the principal has been reduced as “restructured” loans. We also consider loans that are refinanced more than one year beyond the original maturity or call date at below market rates as restructured.</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7" w:right="1320" w:bottom="1440" w:gutter="0" w:footer="0" w:header="0"/>
        </w:sectPr>
      </w:pPr>
    </w:p>
    <w:bookmarkStart w:id="138" w:name="page139"/>
    <w:bookmarkEnd w:id="13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80" w:firstLine="576"/>
        <w:spacing w:after="0" w:line="238" w:lineRule="auto"/>
        <w:rPr>
          <w:sz w:val="20"/>
          <w:szCs w:val="20"/>
          <w:color w:val="auto"/>
        </w:rPr>
      </w:pPr>
      <w:r>
        <w:rPr>
          <w:rFonts w:ascii="Times New Roman" w:cs="Times New Roman" w:eastAsia="Times New Roman" w:hAnsi="Times New Roman"/>
          <w:sz w:val="16"/>
          <w:szCs w:val="16"/>
          <w:color w:val="auto"/>
        </w:rPr>
        <w:t>We had two delinquent problem commercial mortgage loans with a carrying amount of $20.5 million for which we had a valuation allowance of $18.8 million as of March 31, 2025. We also had one potential problem commercial mortgage loan with a carrying amount of $65.5 million for which we had a valuation allowance of $28.0 million and one restructured problem commercial mortgage loan with a carrying amount of $34.1 million for which we had a valuation allowance of $34.1 million as of March 31, 2025. We had three delinquent problem commercial mortgage loans with a carrying amount of $20.6 million for which we had a valuation allowance of $18.9 million as of December 31, 2024. We also had two potential problem commercial mortgage loans with a carrying amount of $140.5 million for which we had a valuation allowance of $33.0 million and one restructured problem commercial mortgage loan with a carrying amount of $34.1 million for which we had a valuation allowance of $34.1 million as of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440" w:type="dxa"/>
            <w:vAlign w:val="bottom"/>
            <w:gridSpan w:val="4"/>
          </w:tcPr>
          <w:p>
            <w:pPr>
              <w:jc w:val="center"/>
              <w:ind w:right="864"/>
              <w:spacing w:after="0" w:line="136" w:lineRule="exact"/>
              <w:rPr>
                <w:sz w:val="20"/>
                <w:szCs w:val="20"/>
                <w:color w:val="auto"/>
              </w:rPr>
            </w:pPr>
            <w:r>
              <w:rPr>
                <w:rFonts w:ascii="Times New Roman" w:cs="Times New Roman" w:eastAsia="Times New Roman" w:hAnsi="Times New Roman"/>
                <w:sz w:val="13"/>
                <w:szCs w:val="13"/>
                <w:i w:val="1"/>
                <w:iCs w:val="1"/>
                <w:color w:val="auto"/>
                <w:w w:val="99"/>
              </w:rPr>
              <w:t>millions)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commercial mortgage loans</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13,848.2</w:t>
            </w:r>
          </w:p>
        </w:tc>
        <w:tc>
          <w:tcPr>
            <w:tcW w:w="1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14,196.0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Problem commercial mortgage loans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1.7</w:t>
            </w: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 problem commercial mortgage loans</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00" w:type="dxa"/>
            <w:vAlign w:val="bottom"/>
            <w:tcBorders>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problem, potential problem and restructured commercial mortgage loans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39.2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109.2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400" w:type="dxa"/>
            <w:vAlign w:val="bottom"/>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Total problem, potential problem and restructured commercial mortgage loans as a percent of total</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0.28 %</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commercial mortgage loans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0.77 %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Mortgage Loan Valuation Allowance. </w:t>
      </w:r>
      <w:r>
        <w:rPr>
          <w:rFonts w:ascii="Times New Roman" w:cs="Times New Roman" w:eastAsia="Times New Roman" w:hAnsi="Times New Roman"/>
          <w:sz w:val="16"/>
          <w:szCs w:val="16"/>
          <w:color w:val="auto"/>
        </w:rPr>
        <w:t>We establish the commercial mortgage loan valuation allowance at levels considered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adequate to absorb estimated expected credit losses within the portfolio. For further details on the commercial mortgage loan valuation allowance, see Item 1. “Financial Statements, Notes to Unaudited Condensed Consolidated Financial Statements, Note 4, Investments” under the caption, “Financing Receivables Valuation Allowance.”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 Estate</w:t>
      </w:r>
    </w:p>
    <w:p>
      <w:pPr>
        <w:spacing w:after="0" w:line="192" w:lineRule="exact"/>
        <w:rPr>
          <w:sz w:val="20"/>
          <w:szCs w:val="20"/>
          <w:color w:val="auto"/>
        </w:rPr>
      </w:pPr>
    </w:p>
    <w:p>
      <w:pPr>
        <w:ind w:right="20" w:firstLine="576"/>
        <w:spacing w:after="0" w:line="299" w:lineRule="auto"/>
        <w:rPr>
          <w:sz w:val="20"/>
          <w:szCs w:val="20"/>
          <w:color w:val="auto"/>
        </w:rPr>
      </w:pPr>
      <w:r>
        <w:rPr>
          <w:rFonts w:ascii="Times New Roman" w:cs="Times New Roman" w:eastAsia="Times New Roman" w:hAnsi="Times New Roman"/>
          <w:sz w:val="14"/>
          <w:szCs w:val="14"/>
          <w:color w:val="auto"/>
        </w:rPr>
        <w:t>Real estate consists primarily of commercial equity real estate. As of March 31, 2025 and December 31, 2024, the carrying amount of our equity real estate investment was $2,479.0 million and $2,463.7 million, respectively. Our commercial equity real estate is held in the form of wholly owned real estate, real estate acquired upon foreclosure of commercial mortgage loans and majority owned interests in real estate joint ventures.</w:t>
      </w:r>
    </w:p>
    <w:p>
      <w:pPr>
        <w:spacing w:after="0" w:line="95"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6"/>
          <w:szCs w:val="16"/>
          <w:color w:val="auto"/>
        </w:rPr>
        <w:t>Equity real estate is categorized as either “real estate held for investment” or “real estate held for sale.” The carrying value of real estate held for investment is generally adjusted for impairments whenever events or changes in circumstances indicate the carrying amount of the asset may not be recoverable. Such impairment adjustments are recorded as net realized capital losses in our consolidated results of operations. No such impairment adjustments were recorded for the three months ended March 31, 2025 or for the year ended December 31, 2024.</w:t>
      </w:r>
    </w:p>
    <w:p>
      <w:pPr>
        <w:spacing w:after="0" w:line="131"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Once we identify a real estate property to be sold and it is probable that it will be sold, we classify the property as held for sale. We establish a valuation allowance subject to periodic revisions, if necessary, to adjust the carrying value of the property to reflect the lower of its current carrying value or the fair value, less associated selling costs. The valuation allowance did not change for the three months ended March 31, 2025 or for the year ended December 31, 2024.</w:t>
      </w:r>
    </w:p>
    <w:p>
      <w:pPr>
        <w:spacing w:after="0" w:line="131" w:lineRule="exact"/>
        <w:rPr>
          <w:sz w:val="20"/>
          <w:szCs w:val="20"/>
          <w:color w:val="auto"/>
        </w:rPr>
      </w:pPr>
    </w:p>
    <w:p>
      <w:pPr>
        <w:ind w:right="220" w:firstLine="576"/>
        <w:spacing w:after="0" w:line="331" w:lineRule="auto"/>
        <w:rPr>
          <w:sz w:val="20"/>
          <w:szCs w:val="20"/>
          <w:color w:val="auto"/>
        </w:rPr>
      </w:pPr>
      <w:r>
        <w:rPr>
          <w:rFonts w:ascii="Times New Roman" w:cs="Times New Roman" w:eastAsia="Times New Roman" w:hAnsi="Times New Roman"/>
          <w:sz w:val="14"/>
          <w:szCs w:val="14"/>
          <w:color w:val="auto"/>
        </w:rPr>
        <w:t>We use research, both internal and external, to recommend appropriate product and geographic allocations and changes to the equity real estate portfolio. We monitor product, geographic and industry diversification separately and together to determine the most appropriate mix.</w:t>
      </w:r>
    </w:p>
    <w:p>
      <w:pPr>
        <w:spacing w:after="0" w:line="72"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Equity real estate is distributed across geographic regions of the country. As of March 31, 2025, our largest equity real estate portfolio concentration was in the Pacific (48%) region of the United States. By property type, our largest concentrations were in Industrial (32%) and Office (32%) as of March 31,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39" w:name="page140"/>
    <w:bookmarkEnd w:id="13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Investments</w:t>
      </w:r>
    </w:p>
    <w:p>
      <w:pPr>
        <w:spacing w:after="0" w:line="156"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6"/>
          <w:szCs w:val="16"/>
          <w:color w:val="auto"/>
        </w:rPr>
        <w:t>Our other investments totaled $4,865.3 million as of March 31, 2025, compared to $4,844.7 million as of December 31, 2024. Other investments include interests in unconsolidated entities, which include real estate properties owned jointly with venture partners and operated by the partners; sponsored investment funds; the cash surrender value of company owned and trust owned life insurance; derivative assets and other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International Investment Operations</w:t>
      </w:r>
    </w:p>
    <w:p>
      <w:pPr>
        <w:spacing w:after="0" w:line="154" w:lineRule="exact"/>
        <w:rPr>
          <w:sz w:val="20"/>
          <w:szCs w:val="20"/>
          <w:color w:val="auto"/>
        </w:rPr>
      </w:pPr>
    </w:p>
    <w:p>
      <w:pPr>
        <w:jc w:val="both"/>
        <w:ind w:right="120" w:firstLine="576"/>
        <w:spacing w:after="0" w:line="247" w:lineRule="auto"/>
        <w:rPr>
          <w:sz w:val="20"/>
          <w:szCs w:val="20"/>
          <w:color w:val="auto"/>
        </w:rPr>
      </w:pPr>
      <w:r>
        <w:rPr>
          <w:rFonts w:ascii="Times New Roman" w:cs="Times New Roman" w:eastAsia="Times New Roman" w:hAnsi="Times New Roman"/>
          <w:sz w:val="16"/>
          <w:szCs w:val="16"/>
          <w:color w:val="auto"/>
        </w:rPr>
        <w:t>Of our invested assets, $6,409.7 million were held by our international operations as of March 31, 2025. Due to the regulatory constraints in each location, each company maintains its own investment policies. As shown in the following table, the major category of international invested assets is fixed maturities. The following table excludes invested assets of the separate accounts.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85"/>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8"/>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05"/>
              <w:spacing w:after="0" w:line="134"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7"/>
              <w:spacing w:after="0" w:line="13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1"/>
                <w:szCs w:val="11"/>
                <w:color w:val="auto"/>
              </w:rPr>
            </w:pPr>
          </w:p>
        </w:tc>
      </w:tr>
      <w:tr>
        <w:trPr>
          <w:trHeight w:val="170"/>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140" w:type="dxa"/>
            <w:vAlign w:val="bottom"/>
          </w:tcPr>
          <w:p>
            <w:pPr>
              <w:spacing w:after="0"/>
              <w:rPr>
                <w:sz w:val="14"/>
                <w:szCs w:val="14"/>
                <w:color w:val="auto"/>
              </w:rPr>
            </w:pPr>
          </w:p>
        </w:tc>
      </w:tr>
      <w:tr>
        <w:trPr>
          <w:trHeight w:val="136"/>
        </w:trPr>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 in</w:t>
            </w:r>
          </w:p>
        </w:tc>
        <w:tc>
          <w:tcPr>
            <w:tcW w:w="1120" w:type="dxa"/>
            <w:vAlign w:val="bottom"/>
            <w:gridSpan w:val="4"/>
          </w:tcPr>
          <w:p>
            <w:pPr>
              <w:jc w:val="right"/>
              <w:ind w:right="525"/>
              <w:spacing w:after="0" w:line="136" w:lineRule="exact"/>
              <w:rPr>
                <w:sz w:val="20"/>
                <w:szCs w:val="20"/>
                <w:color w:val="auto"/>
              </w:rPr>
            </w:pPr>
            <w:r>
              <w:rPr>
                <w:rFonts w:ascii="Times New Roman" w:cs="Times New Roman" w:eastAsia="Times New Roman" w:hAnsi="Times New Roman"/>
                <w:sz w:val="13"/>
                <w:szCs w:val="13"/>
                <w:i w:val="1"/>
                <w:iCs w:val="1"/>
                <w:color w:val="auto"/>
              </w:rPr>
              <w:t>millions)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maturities</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2,625.4</w:t>
            </w:r>
          </w:p>
        </w:tc>
        <w:tc>
          <w:tcPr>
            <w:tcW w:w="11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41 %</w:t>
            </w:r>
          </w:p>
        </w:tc>
        <w:tc>
          <w:tcPr>
            <w:tcW w:w="180" w:type="dxa"/>
            <w:vAlign w:val="bottom"/>
            <w:gridSpan w:val="2"/>
            <w:shd w:val="clear" w:color="auto" w:fill="CCEEFF"/>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2,495.0</w:t>
            </w:r>
          </w:p>
        </w:tc>
        <w:tc>
          <w:tcPr>
            <w:tcW w:w="108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41 %</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764.9</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747.1</w:t>
            </w:r>
          </w:p>
        </w:tc>
        <w:tc>
          <w:tcPr>
            <w:tcW w:w="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5"/>
                <w:szCs w:val="15"/>
                <w:color w:val="auto"/>
              </w:rPr>
            </w:pP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loans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908.9</w:t>
            </w:r>
          </w:p>
        </w:tc>
        <w:tc>
          <w:tcPr>
            <w:tcW w:w="9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867.2</w:t>
            </w:r>
          </w:p>
        </w:tc>
        <w:tc>
          <w:tcPr>
            <w:tcW w:w="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5"/>
                <w:szCs w:val="15"/>
                <w:color w:val="auto"/>
              </w:rPr>
            </w:pP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tcPr>
          <w:p>
            <w:pPr>
              <w:spacing w:after="0"/>
              <w:rPr>
                <w:sz w:val="15"/>
                <w:szCs w:val="15"/>
                <w:color w:val="auto"/>
              </w:rPr>
            </w:pPr>
          </w:p>
        </w:tc>
        <w:tc>
          <w:tcPr>
            <w:tcW w:w="92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15"/>
                <w:szCs w:val="15"/>
                <w:color w:val="auto"/>
              </w:rPr>
            </w:pPr>
          </w:p>
        </w:tc>
        <w:tc>
          <w:tcPr>
            <w:tcW w:w="8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Policy loans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15.7</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3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Direct financing leases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584.7</w:t>
            </w:r>
          </w:p>
        </w:tc>
        <w:tc>
          <w:tcPr>
            <w:tcW w:w="9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560.0</w:t>
            </w:r>
          </w:p>
        </w:tc>
        <w:tc>
          <w:tcPr>
            <w:tcW w:w="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5"/>
                <w:szCs w:val="15"/>
                <w:color w:val="auto"/>
              </w:rPr>
            </w:pPr>
          </w:p>
        </w:tc>
      </w:tr>
      <w:tr>
        <w:trPr>
          <w:trHeight w:val="180"/>
        </w:trPr>
        <w:tc>
          <w:tcPr>
            <w:tcW w:w="53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in unconsolidated operating entities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1,084.7</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1,048.6</w:t>
            </w:r>
          </w:p>
        </w:tc>
        <w:tc>
          <w:tcPr>
            <w:tcW w:w="9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5"/>
                <w:szCs w:val="15"/>
                <w:color w:val="auto"/>
              </w:rPr>
            </w:pPr>
          </w:p>
        </w:tc>
      </w:tr>
      <w:tr>
        <w:trPr>
          <w:trHeight w:val="180"/>
        </w:trPr>
        <w:tc>
          <w:tcPr>
            <w:tcW w:w="53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Derivative assets and other investments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424.3</w:t>
            </w:r>
          </w:p>
        </w:tc>
        <w:tc>
          <w:tcPr>
            <w:tcW w:w="9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394.2</w:t>
            </w:r>
          </w:p>
        </w:tc>
        <w:tc>
          <w:tcPr>
            <w:tcW w:w="9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5"/>
                <w:szCs w:val="15"/>
                <w:color w:val="auto"/>
              </w:rPr>
            </w:pPr>
          </w:p>
        </w:tc>
      </w:tr>
      <w:tr>
        <w:trPr>
          <w:trHeight w:val="212"/>
        </w:trPr>
        <w:tc>
          <w:tcPr>
            <w:tcW w:w="5360" w:type="dxa"/>
            <w:vAlign w:val="bottom"/>
            <w:tcBorders>
              <w:bottom w:val="single" w:sz="8" w:color="CCEEFF"/>
            </w:tcBorders>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invested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6,409.7</w:t>
            </w:r>
          </w:p>
        </w:tc>
        <w:tc>
          <w:tcPr>
            <w:tcW w:w="2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100</w:t>
            </w:r>
          </w:p>
        </w:tc>
        <w:tc>
          <w:tcPr>
            <w:tcW w:w="20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6,127.9</w:t>
            </w:r>
          </w:p>
        </w:tc>
        <w:tc>
          <w:tcPr>
            <w:tcW w:w="2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4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89"/>
              </w:rPr>
              <w:t>%</w:t>
            </w:r>
          </w:p>
        </w:tc>
      </w:tr>
      <w:tr>
        <w:trPr>
          <w:trHeight w:val="156"/>
        </w:trPr>
        <w:tc>
          <w:tcPr>
            <w:tcW w:w="5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229.9</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248.9</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72"/>
        </w:trPr>
        <w:tc>
          <w:tcPr>
            <w:tcW w:w="536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 invested assets and cash</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6,639.6</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6,376.8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Regulations in certain locations require investment in the funds we manage. These required regulatory investments are classified as equity securities within our consolidated statements of financial position, with all mark-to- market changes reflected in net investment income. Our investment is primarily dictated by client activity and all investment performance is retained by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 Exposures and Risk Management</w:t>
      </w:r>
    </w:p>
    <w:p>
      <w:pPr>
        <w:spacing w:after="0" w:line="154"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Market risk is the risk we will incur losses due to adverse fluctuations in market rates and prices. Our primary market risk exposures are to interest rates, equity markets and foreign currency exchange rates. The active management of market risk is an integral part of our operations. We manage our overall market risk exposure within established risk tolerance ranges using several approaches, including:</w:t>
      </w:r>
    </w:p>
    <w:p>
      <w:pPr>
        <w:spacing w:after="0" w:line="128" w:lineRule="exact"/>
        <w:rPr>
          <w:sz w:val="20"/>
          <w:szCs w:val="20"/>
          <w:color w:val="auto"/>
        </w:rPr>
      </w:pPr>
    </w:p>
    <w:p>
      <w:pPr>
        <w:ind w:left="860" w:hanging="286"/>
        <w:spacing w:after="0"/>
        <w:tabs>
          <w:tab w:leader="none" w:pos="8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rebalancing our existing asset or liability portfolios;</w:t>
      </w:r>
    </w:p>
    <w:p>
      <w:pPr>
        <w:spacing w:after="0" w:line="14"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the risk structure of newly acquired assets and liabilities and</w:t>
      </w:r>
    </w:p>
    <w:p>
      <w:pPr>
        <w:ind w:left="860" w:hanging="286"/>
        <w:spacing w:after="0"/>
        <w:tabs>
          <w:tab w:leader="none" w:pos="8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derivative instruments to modify the market risk characteristics of existing assets or liabilities or assets expected to be purchased.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40" w:name="page141"/>
    <w:bookmarkEnd w:id="14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90" w:lineRule="exact"/>
        <w:rPr>
          <w:sz w:val="20"/>
          <w:szCs w:val="20"/>
          <w:color w:val="auto"/>
        </w:rPr>
      </w:pPr>
    </w:p>
    <w:p>
      <w:pPr>
        <w:ind w:right="140" w:firstLine="576"/>
        <w:spacing w:after="0" w:line="331" w:lineRule="auto"/>
        <w:rPr>
          <w:sz w:val="20"/>
          <w:szCs w:val="20"/>
          <w:color w:val="auto"/>
        </w:rPr>
      </w:pPr>
      <w:r>
        <w:rPr>
          <w:rFonts w:ascii="Times New Roman" w:cs="Times New Roman" w:eastAsia="Times New Roman" w:hAnsi="Times New Roman"/>
          <w:sz w:val="14"/>
          <w:szCs w:val="14"/>
          <w:color w:val="auto"/>
        </w:rPr>
        <w:t>Interest rate risk is the risk of economic losses due to adverse changes in interest rates. Interest rate risk arises primarily from our holdings in interest sensitive assets and liabilities. Changes in interest rates impact numerous aspects of our operations, including but not limited to:</w:t>
      </w:r>
    </w:p>
    <w:p>
      <w:pPr>
        <w:spacing w:after="0" w:line="108" w:lineRule="exact"/>
        <w:rPr>
          <w:sz w:val="20"/>
          <w:szCs w:val="20"/>
          <w:color w:val="auto"/>
        </w:rPr>
      </w:pPr>
    </w:p>
    <w:p>
      <w:pPr>
        <w:ind w:left="860" w:hanging="286"/>
        <w:spacing w:after="0"/>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yield on our invested assets;</w:t>
      </w:r>
    </w:p>
    <w:p>
      <w:pPr>
        <w:spacing w:after="0" w:line="14" w:lineRule="exact"/>
        <w:rPr>
          <w:rFonts w:ascii="Times New Roman" w:cs="Times New Roman" w:eastAsia="Times New Roman" w:hAnsi="Times New Roman"/>
          <w:sz w:val="16"/>
          <w:szCs w:val="16"/>
          <w:color w:val="auto"/>
        </w:rPr>
      </w:pP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rate of interest we credit to contractholder account balances;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cash flows on assets and liabilities containing embedded prepayment options;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hedging our GMWB rider;</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rate used in valuing our liability for future policy benefits for long-duration insurance and annuity contracts;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rate used in valuing our pension and OPEB obligations;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statutory reserve and capital requirements;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asset-based fees earned on the fixed income assets we manage;</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long-term borrowings;</w:t>
      </w:r>
    </w:p>
    <w:p>
      <w:pPr>
        <w:ind w:left="860" w:hanging="286"/>
        <w:spacing w:after="0" w:line="234" w:lineRule="auto"/>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intangible assets in our reporting units and</w:t>
      </w:r>
    </w:p>
    <w:p>
      <w:pPr>
        <w:ind w:left="860" w:hanging="286"/>
        <w:spacing w:after="0"/>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financial assets and liabilities held at fair value on our consolidated statements of financial position.</w:t>
      </w:r>
    </w:p>
    <w:p>
      <w:pPr>
        <w:spacing w:after="0" w:line="170"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Lower interest rates generally result in lower profitability in the long-term. Conversely, higher interest rates generally result in higher profitability in the long-term. However, an increase in market interest rates may cause a decline in the value of financial assets held at fair value on our consolidated statements of financial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 of Changes in Long-Term Interest Rate Assumptions</w:t>
      </w:r>
    </w:p>
    <w:p>
      <w:pPr>
        <w:spacing w:after="0" w:line="192"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We use long-term interest rate assumptions to calculate MRBs, certain reserves and benefit plan obligations in accordance with U.S. GAAP. In setting these assumptions, we consider a variety of factors, including historical experience, emerging trends and future expectations. We evaluate our assumptions on at least an annual basis. Due to the long-term nature of our assumptions, we generally do not revise our assumptions in response to short-term fluctuations in market interest rates. However, we will consider revising our assumptions if a significant change occurs in the factors noted above.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reduction in our long-term interest rate assumptions may result in increases in MRB liabilities and certain reserves.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41" w:name="page142"/>
    <w:bookmarkEnd w:id="14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 of Changes in Interest Rates</w:t>
      </w:r>
    </w:p>
    <w:p>
      <w:pPr>
        <w:spacing w:after="0" w:line="192"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Changes in interest rates or a sustained low interest rate environment may result in the following impacts, which would impact our financial position and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Impact of Falling Interest Rates or Sustained Low Interest Rates</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Impact of Rising Interest Rates</w:t>
            </w:r>
          </w:p>
        </w:tc>
      </w:tr>
      <w:tr>
        <w:trPr>
          <w:trHeight w:val="172"/>
        </w:trPr>
        <w:tc>
          <w:tcPr>
            <w:tcW w:w="466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Adverse Impacts:</w:t>
            </w:r>
          </w:p>
        </w:tc>
        <w:tc>
          <w:tcPr>
            <w:tcW w:w="468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Positive Impacts:</w:t>
            </w:r>
          </w:p>
        </w:tc>
      </w:tr>
      <w:tr>
        <w:trPr>
          <w:trHeight w:val="159"/>
        </w:trPr>
        <w:tc>
          <w:tcPr>
            <w:tcW w:w="466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reduction in investment income, which may be partially offset by a</w:t>
            </w:r>
          </w:p>
        </w:tc>
        <w:tc>
          <w:tcPr>
            <w:tcW w:w="4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An increase in investment income, which may be partially or fully</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reduction in the interest we credit on contractholder account balances;</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offset by an increase in the interest we credit on contractholder account</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however, our ability to lower crediting rates may be constrained by</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balances</w:t>
            </w:r>
          </w:p>
        </w:tc>
      </w:tr>
      <w:tr>
        <w:trPr>
          <w:trHeight w:val="193"/>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guaranteed minimum interest rates and competitive pressures</w:t>
            </w:r>
          </w:p>
        </w:tc>
        <w:tc>
          <w:tcPr>
            <w:tcW w:w="4680" w:type="dxa"/>
            <w:vAlign w:val="bottom"/>
            <w:tcBorders>
              <w:bottom w:val="single" w:sz="8" w:color="auto"/>
            </w:tcBorders>
          </w:tcPr>
          <w:p>
            <w:pPr>
              <w:spacing w:after="0"/>
              <w:rPr>
                <w:sz w:val="16"/>
                <w:szCs w:val="16"/>
                <w:color w:val="auto"/>
              </w:rPr>
            </w:pPr>
          </w:p>
        </w:tc>
      </w:tr>
      <w:tr>
        <w:trPr>
          <w:trHeight w:val="172"/>
        </w:trPr>
        <w:tc>
          <w:tcPr>
            <w:tcW w:w="466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An increase in the cost of hedging our GMWB rider</w:t>
            </w:r>
          </w:p>
        </w:tc>
        <w:tc>
          <w:tcPr>
            <w:tcW w:w="468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A decrease in the cost of hedging our GMWB rider</w:t>
            </w:r>
          </w:p>
        </w:tc>
      </w:tr>
      <w:tr>
        <w:trPr>
          <w:trHeight w:val="172"/>
        </w:trPr>
        <w:tc>
          <w:tcPr>
            <w:tcW w:w="466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An increase in MRB liabilities and certain reserves</w:t>
            </w:r>
          </w:p>
        </w:tc>
        <w:tc>
          <w:tcPr>
            <w:tcW w:w="468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A decrease in MRB liabilities and certain reserves</w:t>
            </w:r>
          </w:p>
        </w:tc>
      </w:tr>
      <w:tr>
        <w:trPr>
          <w:trHeight w:val="159"/>
        </w:trPr>
        <w:tc>
          <w:tcPr>
            <w:tcW w:w="466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reduction in the discount rate used to measure reserves for long-</w:t>
            </w:r>
          </w:p>
        </w:tc>
        <w:tc>
          <w:tcPr>
            <w:tcW w:w="4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An increase in the discount rate used to measure reserves for long-</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duration insurance and annuity contracts, leading to an increase in our</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duration insurance and annuity contracts, leading to a decrease in our</w:t>
            </w:r>
          </w:p>
        </w:tc>
      </w:tr>
      <w:tr>
        <w:trPr>
          <w:trHeight w:val="193"/>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reserves</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reserves</w:t>
            </w:r>
          </w:p>
        </w:tc>
      </w:tr>
      <w:tr>
        <w:trPr>
          <w:trHeight w:val="159"/>
        </w:trPr>
        <w:tc>
          <w:tcPr>
            <w:tcW w:w="466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reduction in the discount rate used in valuing our pension and OPEB</w:t>
            </w:r>
          </w:p>
        </w:tc>
        <w:tc>
          <w:tcPr>
            <w:tcW w:w="4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An increase in the discount rate used in valuing our pension and OPEB</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obligations, leading to an increase in our Projected Benefit Obligation,</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obligations, leading to a decrease in our Projected Benefit Obligation,</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Periodic Pension Cost, Accumulated Postretirement Benefit</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Periodic Pension Cost, Accumulated Postretirement Benefit</w:t>
            </w:r>
          </w:p>
        </w:tc>
      </w:tr>
      <w:tr>
        <w:trPr>
          <w:trHeight w:val="193"/>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Obligation and Net Periodic Benefit Cost</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Obligation and Net Periodic Benefit Cost</w:t>
            </w:r>
          </w:p>
        </w:tc>
      </w:tr>
      <w:tr>
        <w:trPr>
          <w:trHeight w:val="159"/>
        </w:trPr>
        <w:tc>
          <w:tcPr>
            <w:tcW w:w="466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An increase in statutory capital we are required to hold as well as the</w:t>
            </w:r>
          </w:p>
        </w:tc>
        <w:tc>
          <w:tcPr>
            <w:tcW w:w="4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decrease in statutory capital we are required to hold as well as the</w:t>
            </w:r>
          </w:p>
        </w:tc>
      </w:tr>
      <w:tr>
        <w:trPr>
          <w:trHeight w:val="193"/>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amount of assets we must maintain to support statutory reserves</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amount of assets we must maintain to support statutory reserves</w:t>
            </w:r>
          </w:p>
        </w:tc>
      </w:tr>
      <w:tr>
        <w:trPr>
          <w:trHeight w:val="159"/>
        </w:trPr>
        <w:tc>
          <w:tcPr>
            <w:tcW w:w="466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w w:val="98"/>
              </w:rPr>
              <w:t>An increase in prepayments or redemptions on mortgages and bonds we</w:t>
            </w:r>
          </w:p>
        </w:tc>
        <w:tc>
          <w:tcPr>
            <w:tcW w:w="4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decrease in prepayments or redemptions on mortgages and bonds we</w:t>
            </w:r>
          </w:p>
        </w:tc>
      </w:tr>
      <w:tr>
        <w:trPr>
          <w:trHeight w:val="180"/>
        </w:trPr>
        <w:tc>
          <w:tcPr>
            <w:tcW w:w="4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own, which would force us to reinvest the proceeds at lower interest</w:t>
            </w:r>
          </w:p>
        </w:tc>
        <w:tc>
          <w:tcPr>
            <w:tcW w:w="46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own, which would reduce our opportunity to reinvest the proceeds at</w:t>
            </w:r>
          </w:p>
        </w:tc>
      </w:tr>
      <w:tr>
        <w:trPr>
          <w:trHeight w:val="203"/>
        </w:trPr>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rates</w:t>
            </w: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higher interest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-2360930</wp:posOffset>
            </wp:positionV>
            <wp:extent cx="5930265" cy="37807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30265" cy="37807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Positive Impacts:</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Adverse Impacts:</w:t>
            </w:r>
          </w:p>
        </w:tc>
      </w:tr>
      <w:tr>
        <w:trPr>
          <w:trHeight w:val="159"/>
        </w:trPr>
        <w:tc>
          <w:tcPr>
            <w:tcW w:w="464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An increase in the value of the fixed income assets we manage,</w:t>
            </w:r>
          </w:p>
        </w:tc>
        <w:tc>
          <w:tcPr>
            <w:tcW w:w="47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w w:val="99"/>
              </w:rPr>
              <w:t>A decrease in the value of the fixed income assets we manage, resulting</w:t>
            </w:r>
          </w:p>
        </w:tc>
      </w:tr>
      <w:tr>
        <w:trPr>
          <w:trHeight w:val="193"/>
        </w:trPr>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resulting in an increase in our fee revenue in the short-term</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 a decrease in our fee revenue in the short-term</w:t>
            </w:r>
          </w:p>
        </w:tc>
      </w:tr>
      <w:tr>
        <w:trPr>
          <w:trHeight w:val="159"/>
        </w:trPr>
        <w:tc>
          <w:tcPr>
            <w:tcW w:w="464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A decrease in the interest expense on our long-term borrowings, to the</w:t>
            </w:r>
          </w:p>
        </w:tc>
        <w:tc>
          <w:tcPr>
            <w:tcW w:w="47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An increase in the interest expense on our long-term borrowings, to the</w:t>
            </w:r>
          </w:p>
        </w:tc>
      </w:tr>
      <w:tr>
        <w:trPr>
          <w:trHeight w:val="180"/>
        </w:trPr>
        <w:tc>
          <w:tcPr>
            <w:tcW w:w="4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extent the borrowings have adjustable rates or we are able to refinance</w:t>
            </w:r>
          </w:p>
        </w:tc>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extent the borrowings have adjustable rates or we refinance our</w:t>
            </w:r>
          </w:p>
        </w:tc>
      </w:tr>
      <w:tr>
        <w:trPr>
          <w:trHeight w:val="193"/>
        </w:trPr>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our obligations at lower interest rates</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obligations at higher interest rates</w:t>
            </w:r>
          </w:p>
        </w:tc>
      </w:tr>
      <w:tr>
        <w:trPr>
          <w:trHeight w:val="159"/>
        </w:trPr>
        <w:tc>
          <w:tcPr>
            <w:tcW w:w="464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w w:val="98"/>
              </w:rPr>
              <w:t>An increase in the fair value of certain financial assets held at fair value</w:t>
            </w:r>
          </w:p>
        </w:tc>
        <w:tc>
          <w:tcPr>
            <w:tcW w:w="47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A decrease in the fair value of certain financial assets held at fair value</w:t>
            </w:r>
          </w:p>
        </w:tc>
      </w:tr>
      <w:tr>
        <w:trPr>
          <w:trHeight w:val="193"/>
        </w:trPr>
        <w:tc>
          <w:tcPr>
            <w:tcW w:w="4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 our consolidated statements of financial position</w:t>
            </w:r>
          </w:p>
        </w:tc>
        <w:tc>
          <w:tcPr>
            <w:tcW w:w="4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on our consolidated statements of financial position, as discussed below</w:t>
            </w:r>
          </w:p>
        </w:tc>
      </w:tr>
      <w:tr>
        <w:trPr>
          <w:trHeight w:val="159"/>
        </w:trPr>
        <w:tc>
          <w:tcPr>
            <w:tcW w:w="4640" w:type="dxa"/>
            <w:vAlign w:val="bottom"/>
          </w:tcPr>
          <w:p>
            <w:pPr>
              <w:spacing w:after="0"/>
              <w:rPr>
                <w:sz w:val="13"/>
                <w:szCs w:val="13"/>
                <w:color w:val="auto"/>
              </w:rPr>
            </w:pPr>
          </w:p>
        </w:tc>
        <w:tc>
          <w:tcPr>
            <w:tcW w:w="47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A reduction in the fair value of intangible assets in our reporting units,</w:t>
            </w:r>
          </w:p>
        </w:tc>
      </w:tr>
      <w:tr>
        <w:trPr>
          <w:trHeight w:val="180"/>
        </w:trPr>
        <w:tc>
          <w:tcPr>
            <w:tcW w:w="4640" w:type="dxa"/>
            <w:vAlign w:val="bottom"/>
          </w:tcPr>
          <w:p>
            <w:pPr>
              <w:spacing w:after="0"/>
              <w:rPr>
                <w:sz w:val="15"/>
                <w:szCs w:val="15"/>
                <w:color w:val="auto"/>
              </w:rPr>
            </w:pPr>
          </w:p>
        </w:tc>
        <w:tc>
          <w:tcPr>
            <w:tcW w:w="47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potentially leading to an impairment of goodwill or other intangible</w:t>
            </w:r>
          </w:p>
        </w:tc>
      </w:tr>
      <w:tr>
        <w:trPr>
          <w:trHeight w:val="203"/>
        </w:trPr>
        <w:tc>
          <w:tcPr>
            <w:tcW w:w="4640" w:type="dxa"/>
            <w:vAlign w:val="bottom"/>
          </w:tcPr>
          <w:p>
            <w:pPr>
              <w:spacing w:after="0"/>
              <w:rPr>
                <w:sz w:val="17"/>
                <w:szCs w:val="17"/>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w:t>
            </w:r>
          </w:p>
        </w:tc>
      </w:tr>
    </w:tbl>
    <w:p>
      <w:pPr>
        <w:spacing w:after="0" w:line="19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We estimate a hypothetical 100 basis point immediate, parallel decrease in U.S. interest rates would impact segment pre-tax operating earnings between (1)% and 1% over the next twelve months. This estimate reflects the impact of routine management actions in response to changes in interest rates, such as reducing the interest rates we credit on contractholder account balances, but does not reflect the impact of other actions management may consider, such as curtailing sales of certain products.</w:t>
      </w:r>
    </w:p>
    <w:p>
      <w:pPr>
        <w:spacing w:after="0" w:line="167"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The selection of a 100 basis point immediate, parallel decrease in U.S. interest rates should not be construed as a prediction by us of future market events, but rather as an illustration of the impact of such an event. Our exposure will change as a result of ongoing portfolio transactions in response to new business, management’s assessment of changing market conditions and changes in our mix of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42" w:name="page143"/>
    <w:bookmarkEnd w:id="142"/>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2" w:right="300" w:firstLine="576"/>
        <w:spacing w:after="0" w:line="299" w:lineRule="auto"/>
        <w:rPr>
          <w:sz w:val="20"/>
          <w:szCs w:val="20"/>
          <w:color w:val="auto"/>
        </w:rPr>
      </w:pPr>
      <w:r>
        <w:rPr>
          <w:rFonts w:ascii="Times New Roman" w:cs="Times New Roman" w:eastAsia="Times New Roman" w:hAnsi="Times New Roman"/>
          <w:sz w:val="14"/>
          <w:szCs w:val="14"/>
          <w:color w:val="auto"/>
        </w:rPr>
        <w:t>If market rates increase rapidly, policy surrenders, withdrawals and requests for policy loans may increase as customers seek to achieve higher returns. Excess lapses may result in an acceleration of amortization for our DAC and other actuarial balances. We may be required to sell assets to raise the cash necessary to respond to such surrenders, withdrawals and loans, thereby realizing capital losses on the assets sold.</w:t>
      </w:r>
    </w:p>
    <w:p>
      <w:pPr>
        <w:spacing w:after="0" w:line="127" w:lineRule="exact"/>
        <w:rPr>
          <w:sz w:val="20"/>
          <w:szCs w:val="20"/>
          <w:color w:val="auto"/>
        </w:rPr>
      </w:pPr>
    </w:p>
    <w:p>
      <w:pPr>
        <w:ind w:left="2" w:right="260" w:firstLine="576"/>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Guaranteed Minimum Interest Rate Exposure</w:t>
      </w:r>
      <w:r>
        <w:rPr>
          <w:rFonts w:ascii="Times New Roman" w:cs="Times New Roman" w:eastAsia="Times New Roman" w:hAnsi="Times New Roman"/>
          <w:sz w:val="16"/>
          <w:szCs w:val="16"/>
          <w:color w:val="auto"/>
        </w:rPr>
        <w:t>. The following table provides detail on the differences between the interest rates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credited to contractholders as of March 31, 2025, and the respective GMIR. Amounts for contracts without significant fee revenues such as GICs, funding agreements, retail fixed income annuities and guaranteed pension contracts are excluded. Additionally, amounts for contracts that are reinsured are also excluded. Account values are broken down by GMIR level within the Retirement and Income Solutions and Benefits and Protection segments.</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Account values (1)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tcPr>
          <w:p>
            <w:pPr>
              <w:ind w:left="60"/>
              <w:spacing w:after="0" w:line="148" w:lineRule="exact"/>
              <w:rPr>
                <w:sz w:val="20"/>
                <w:szCs w:val="20"/>
                <w:color w:val="auto"/>
              </w:rPr>
            </w:pPr>
            <w:r>
              <w:rPr>
                <w:rFonts w:ascii="Times New Roman" w:cs="Times New Roman" w:eastAsia="Times New Roman" w:hAnsi="Times New Roman"/>
                <w:sz w:val="13"/>
                <w:szCs w:val="13"/>
                <w:b w:val="1"/>
                <w:bCs w:val="1"/>
                <w:color w:val="auto"/>
              </w:rPr>
              <w:t>Excess of crediting rates over GMIR:</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34"/>
        </w:trPr>
        <w:tc>
          <w:tcPr>
            <w:tcW w:w="2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Up to 0.50%</w:t>
            </w:r>
          </w:p>
        </w:tc>
        <w:tc>
          <w:tcPr>
            <w:tcW w:w="114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0.51% to 1.00%</w:t>
            </w:r>
          </w:p>
        </w:tc>
        <w:tc>
          <w:tcPr>
            <w:tcW w:w="60" w:type="dxa"/>
            <w:vAlign w:val="bottom"/>
          </w:tcPr>
          <w:p>
            <w:pPr>
              <w:spacing w:after="0"/>
              <w:rPr>
                <w:sz w:val="11"/>
                <w:szCs w:val="11"/>
                <w:color w:val="auto"/>
              </w:rPr>
            </w:pPr>
          </w:p>
        </w:tc>
        <w:tc>
          <w:tcPr>
            <w:tcW w:w="1140" w:type="dxa"/>
            <w:vAlign w:val="bottom"/>
            <w:gridSpan w:val="3"/>
          </w:tcPr>
          <w:p>
            <w:pPr>
              <w:jc w:val="center"/>
              <w:ind w:right="122"/>
              <w:spacing w:after="0" w:line="134" w:lineRule="exact"/>
              <w:rPr>
                <w:sz w:val="20"/>
                <w:szCs w:val="20"/>
                <w:color w:val="auto"/>
              </w:rPr>
            </w:pPr>
            <w:r>
              <w:rPr>
                <w:rFonts w:ascii="Times New Roman" w:cs="Times New Roman" w:eastAsia="Times New Roman" w:hAnsi="Times New Roman"/>
                <w:sz w:val="13"/>
                <w:szCs w:val="13"/>
                <w:b w:val="1"/>
                <w:bCs w:val="1"/>
                <w:color w:val="auto"/>
              </w:rPr>
              <w:t>1.01% to 2.00%</w:t>
            </w:r>
          </w:p>
        </w:tc>
        <w:tc>
          <w:tcPr>
            <w:tcW w:w="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2.01% or more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0"/>
        </w:trPr>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At GMIR</w:t>
            </w:r>
          </w:p>
        </w:tc>
        <w:tc>
          <w:tcPr>
            <w:tcW w:w="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rPr>
              <w:t>above GMIR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42"/>
              <w:spacing w:after="0"/>
              <w:rPr>
                <w:sz w:val="20"/>
                <w:szCs w:val="20"/>
                <w:color w:val="auto"/>
              </w:rPr>
            </w:pPr>
            <w:r>
              <w:rPr>
                <w:rFonts w:ascii="Times New Roman" w:cs="Times New Roman" w:eastAsia="Times New Roman" w:hAnsi="Times New Roman"/>
                <w:sz w:val="13"/>
                <w:szCs w:val="13"/>
                <w:b w:val="1"/>
                <w:bCs w:val="1"/>
                <w:color w:val="auto"/>
                <w:w w:val="99"/>
              </w:rPr>
              <w:t>above GMIR</w:t>
            </w:r>
          </w:p>
        </w:tc>
        <w:tc>
          <w:tcPr>
            <w:tcW w:w="140" w:type="dxa"/>
            <w:vAlign w:val="bottom"/>
          </w:tcPr>
          <w:p>
            <w:pPr>
              <w:spacing w:after="0"/>
              <w:rPr>
                <w:sz w:val="14"/>
                <w:szCs w:val="14"/>
                <w:color w:val="auto"/>
              </w:rPr>
            </w:pPr>
          </w:p>
        </w:tc>
        <w:tc>
          <w:tcPr>
            <w:tcW w:w="84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6"/>
        </w:trPr>
        <w:tc>
          <w:tcPr>
            <w:tcW w:w="2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i w:val="1"/>
                <w:iCs w:val="1"/>
                <w:color w:val="auto"/>
              </w:rPr>
              <w:t>($</w:t>
            </w:r>
          </w:p>
        </w:tc>
        <w:tc>
          <w:tcPr>
            <w:tcW w:w="2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i w:val="1"/>
                <w:iCs w:val="1"/>
                <w:color w:val="auto"/>
              </w:rPr>
              <w:t>in</w:t>
            </w:r>
          </w:p>
        </w:tc>
        <w:tc>
          <w:tcPr>
            <w:tcW w:w="940" w:type="dxa"/>
            <w:vAlign w:val="bottom"/>
            <w:tcBorders>
              <w:top w:val="single" w:sz="8" w:color="auto"/>
            </w:tcBorders>
            <w:gridSpan w:val="2"/>
          </w:tcPr>
          <w:p>
            <w:pPr>
              <w:jc w:val="right"/>
              <w:ind w:right="523"/>
              <w:spacing w:after="0" w:line="136" w:lineRule="exact"/>
              <w:rPr>
                <w:sz w:val="20"/>
                <w:szCs w:val="20"/>
                <w:color w:val="auto"/>
              </w:rPr>
            </w:pPr>
            <w:r>
              <w:rPr>
                <w:rFonts w:ascii="Times New Roman" w:cs="Times New Roman" w:eastAsia="Times New Roman" w:hAnsi="Times New Roman"/>
                <w:sz w:val="12"/>
                <w:szCs w:val="12"/>
                <w:i w:val="1"/>
                <w:iCs w:val="1"/>
                <w:color w:val="auto"/>
                <w:w w:val="74"/>
              </w:rPr>
              <w:t>millions)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80"/>
        </w:trPr>
        <w:tc>
          <w:tcPr>
            <w:tcW w:w="2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Guaranteed minimum interest rate</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28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Retirement and Income Solutions</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Up to 1.00%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17.1</w:t>
            </w:r>
          </w:p>
        </w:tc>
        <w:tc>
          <w:tcPr>
            <w:tcW w:w="2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3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gridSpan w:val="2"/>
            <w:shd w:val="clear" w:color="auto" w:fill="CCEEFF"/>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236.8</w:t>
            </w:r>
          </w:p>
        </w:tc>
        <w:tc>
          <w:tcPr>
            <w:tcW w:w="2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1,273.9</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1,527.8</w:t>
            </w:r>
          </w:p>
        </w:tc>
        <w:tc>
          <w:tcPr>
            <w:tcW w:w="18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 - 2.00%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3,409.5</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1,010.1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4,419.6</w:t>
            </w:r>
          </w:p>
        </w:tc>
        <w:tc>
          <w:tcPr>
            <w:tcW w:w="18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2.01% - 3.00%</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392.4</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0.2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3,596.2</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2,889.7</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6,880.8</w:t>
            </w:r>
          </w:p>
        </w:tc>
        <w:tc>
          <w:tcPr>
            <w:tcW w:w="18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3.01% - 4.00%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tcPr>
          <w:p>
            <w:pPr>
              <w:spacing w:after="0"/>
              <w:rPr>
                <w:sz w:val="15"/>
                <w:szCs w:val="15"/>
                <w:color w:val="auto"/>
              </w:rPr>
            </w:pPr>
          </w:p>
        </w:tc>
      </w:tr>
      <w:tr>
        <w:trPr>
          <w:trHeight w:val="180"/>
        </w:trPr>
        <w:tc>
          <w:tcPr>
            <w:tcW w:w="2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4.01% and above</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w:t>
            </w:r>
          </w:p>
        </w:tc>
        <w:tc>
          <w:tcPr>
            <w:tcW w:w="180" w:type="dxa"/>
            <w:vAlign w:val="bottom"/>
            <w:shd w:val="clear" w:color="auto" w:fill="CCEEFF"/>
          </w:tcPr>
          <w:p>
            <w:pPr>
              <w:spacing w:after="0"/>
              <w:rPr>
                <w:sz w:val="15"/>
                <w:szCs w:val="15"/>
                <w:color w:val="auto"/>
              </w:rPr>
            </w:pPr>
          </w:p>
        </w:tc>
      </w:tr>
      <w:tr>
        <w:trPr>
          <w:trHeight w:val="172"/>
        </w:trPr>
        <w:tc>
          <w:tcPr>
            <w:tcW w:w="28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Subtotal</w:t>
            </w: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3,840.1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0.2</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4,843.1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4,163.6</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12,849.3</w:t>
            </w:r>
          </w:p>
        </w:tc>
        <w:tc>
          <w:tcPr>
            <w:tcW w:w="180" w:type="dxa"/>
            <w:vAlign w:val="bottom"/>
          </w:tcPr>
          <w:p>
            <w:pPr>
              <w:spacing w:after="0"/>
              <w:rPr>
                <w:sz w:val="14"/>
                <w:szCs w:val="14"/>
                <w:color w:val="auto"/>
              </w:rPr>
            </w:pPr>
          </w:p>
        </w:tc>
      </w:tr>
      <w:tr>
        <w:trPr>
          <w:trHeight w:val="180"/>
        </w:trPr>
        <w:tc>
          <w:tcPr>
            <w:tcW w:w="2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28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Benefits and Protection</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Up to 1.00%</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14.6</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23.3</w:t>
            </w:r>
          </w:p>
        </w:tc>
        <w:tc>
          <w:tcPr>
            <w:tcW w:w="18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 - 2.00%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464.8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468.8</w:t>
            </w:r>
          </w:p>
        </w:tc>
        <w:tc>
          <w:tcPr>
            <w:tcW w:w="180" w:type="dxa"/>
            <w:vAlign w:val="bottom"/>
          </w:tcPr>
          <w:p>
            <w:pPr>
              <w:spacing w:after="0"/>
              <w:rPr>
                <w:sz w:val="15"/>
                <w:szCs w:val="15"/>
                <w:color w:val="auto"/>
              </w:rPr>
            </w:pPr>
          </w:p>
        </w:tc>
      </w:tr>
      <w:tr>
        <w:trPr>
          <w:trHeight w:val="180"/>
        </w:trPr>
        <w:tc>
          <w:tcPr>
            <w:tcW w:w="2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2.01% - 3.00%</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372.9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497.8</w:t>
            </w:r>
          </w:p>
        </w:tc>
        <w:tc>
          <w:tcPr>
            <w:tcW w:w="180" w:type="dxa"/>
            <w:vAlign w:val="bottom"/>
            <w:shd w:val="clear" w:color="auto" w:fill="CCEEFF"/>
          </w:tcPr>
          <w:p>
            <w:pPr>
              <w:spacing w:after="0"/>
              <w:rPr>
                <w:sz w:val="15"/>
                <w:szCs w:val="15"/>
                <w:color w:val="auto"/>
              </w:rPr>
            </w:pPr>
          </w:p>
        </w:tc>
      </w:tr>
      <w:tr>
        <w:trPr>
          <w:trHeight w:val="180"/>
        </w:trPr>
        <w:tc>
          <w:tcPr>
            <w:tcW w:w="2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3.01% - 4.00%</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1,526.6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102.2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1,707.8</w:t>
            </w:r>
          </w:p>
        </w:tc>
        <w:tc>
          <w:tcPr>
            <w:tcW w:w="180" w:type="dxa"/>
            <w:vAlign w:val="bottom"/>
          </w:tcPr>
          <w:p>
            <w:pPr>
              <w:spacing w:after="0"/>
              <w:rPr>
                <w:sz w:val="15"/>
                <w:szCs w:val="15"/>
                <w:color w:val="auto"/>
              </w:rPr>
            </w:pPr>
          </w:p>
        </w:tc>
      </w:tr>
      <w:tr>
        <w:trPr>
          <w:trHeight w:val="180"/>
        </w:trPr>
        <w:tc>
          <w:tcPr>
            <w:tcW w:w="28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4.01% and above</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21.3</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18.2</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51.7</w:t>
            </w:r>
          </w:p>
        </w:tc>
        <w:tc>
          <w:tcPr>
            <w:tcW w:w="180" w:type="dxa"/>
            <w:vAlign w:val="bottom"/>
            <w:shd w:val="clear" w:color="auto" w:fill="CCEEFF"/>
          </w:tcPr>
          <w:p>
            <w:pPr>
              <w:spacing w:after="0"/>
              <w:rPr>
                <w:sz w:val="15"/>
                <w:szCs w:val="15"/>
                <w:color w:val="auto"/>
              </w:rPr>
            </w:pPr>
          </w:p>
        </w:tc>
      </w:tr>
      <w:tr>
        <w:trPr>
          <w:trHeight w:val="172"/>
        </w:trPr>
        <w:tc>
          <w:tcPr>
            <w:tcW w:w="28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Subtotal</w:t>
            </w: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1,551.4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59.8</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145.8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511.9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480.5</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2,749.4</w:t>
            </w:r>
          </w:p>
        </w:tc>
        <w:tc>
          <w:tcPr>
            <w:tcW w:w="180" w:type="dxa"/>
            <w:vAlign w:val="bottom"/>
          </w:tcPr>
          <w:p>
            <w:pPr>
              <w:spacing w:after="0"/>
              <w:rPr>
                <w:sz w:val="14"/>
                <w:szCs w:val="14"/>
                <w:color w:val="auto"/>
              </w:rPr>
            </w:pPr>
          </w:p>
        </w:tc>
      </w:tr>
      <w:tr>
        <w:trPr>
          <w:trHeight w:val="180"/>
        </w:trPr>
        <w:tc>
          <w:tcPr>
            <w:tcW w:w="2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12"/>
        </w:trPr>
        <w:tc>
          <w:tcPr>
            <w:tcW w:w="284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5,391.5</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30"/>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60.0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148.1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5,355.0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4,644.1</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15,598.7</w:t>
            </w:r>
          </w:p>
        </w:tc>
        <w:tc>
          <w:tcPr>
            <w:tcW w:w="180" w:type="dxa"/>
            <w:vAlign w:val="bottom"/>
            <w:tcBorders>
              <w:bottom w:val="single" w:sz="8" w:color="CCEEFF"/>
            </w:tcBorders>
          </w:tcPr>
          <w:p>
            <w:pPr>
              <w:spacing w:after="0"/>
              <w:rPr>
                <w:sz w:val="18"/>
                <w:szCs w:val="18"/>
                <w:color w:val="auto"/>
              </w:rPr>
            </w:pPr>
          </w:p>
        </w:tc>
      </w:tr>
      <w:tr>
        <w:trPr>
          <w:trHeight w:val="156"/>
        </w:trPr>
        <w:tc>
          <w:tcPr>
            <w:tcW w:w="28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Percentage of total</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34.6</w:t>
            </w:r>
          </w:p>
        </w:tc>
        <w:tc>
          <w:tcPr>
            <w:tcW w:w="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0.4</w:t>
            </w:r>
          </w:p>
        </w:tc>
        <w:tc>
          <w:tcPr>
            <w:tcW w:w="240" w:type="dxa"/>
            <w:vAlign w:val="bottom"/>
            <w:shd w:val="clear" w:color="auto" w:fill="CCEEFF"/>
          </w:tcPr>
          <w:p>
            <w:pPr>
              <w:jc w:val="right"/>
              <w:ind w:right="22"/>
              <w:spacing w:after="0" w:line="15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0.9</w:t>
            </w:r>
          </w:p>
        </w:tc>
        <w:tc>
          <w:tcPr>
            <w:tcW w:w="2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34.3</w:t>
            </w:r>
          </w:p>
        </w:tc>
        <w:tc>
          <w:tcPr>
            <w:tcW w:w="2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29.8</w:t>
            </w:r>
          </w:p>
        </w:tc>
        <w:tc>
          <w:tcPr>
            <w:tcW w:w="260" w:type="dxa"/>
            <w:vAlign w:val="bottom"/>
            <w:shd w:val="clear" w:color="auto" w:fill="CCEEFF"/>
          </w:tcPr>
          <w:p>
            <w:pPr>
              <w:jc w:val="right"/>
              <w:ind w:right="22"/>
              <w:spacing w:after="0" w:line="156"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w w:val="87"/>
              </w:rPr>
              <w:t>%</w:t>
            </w:r>
          </w:p>
        </w:tc>
      </w:tr>
      <w:tr>
        <w:trPr>
          <w:trHeight w:val="96"/>
        </w:trPr>
        <w:tc>
          <w:tcPr>
            <w:tcW w:w="2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59" w:lineRule="exact"/>
        <w:rPr>
          <w:sz w:val="20"/>
          <w:szCs w:val="20"/>
          <w:color w:val="auto"/>
        </w:rPr>
      </w:pPr>
    </w:p>
    <w:p>
      <w:pPr>
        <w:ind w:left="282" w:right="220" w:hanging="282"/>
        <w:spacing w:after="0" w:line="259" w:lineRule="auto"/>
        <w:tabs>
          <w:tab w:leader="none" w:pos="28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only the account values, net of the account values with associated policy loans, for products with GMIRs and discretionary crediting rates, excluding amounts for contracts that are reinsured.</w:t>
      </w:r>
    </w:p>
    <w:p>
      <w:pPr>
        <w:spacing w:after="0" w:line="151" w:lineRule="exact"/>
        <w:rPr>
          <w:sz w:val="20"/>
          <w:szCs w:val="20"/>
          <w:color w:val="auto"/>
        </w:rPr>
      </w:pPr>
    </w:p>
    <w:p>
      <w:pPr>
        <w:ind w:left="2" w:right="60" w:firstLine="576"/>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Impact of Rising Interest Rates on the Fair Value of Financial Assets. </w:t>
      </w:r>
      <w:r>
        <w:rPr>
          <w:rFonts w:ascii="Times New Roman" w:cs="Times New Roman" w:eastAsia="Times New Roman" w:hAnsi="Times New Roman"/>
          <w:sz w:val="16"/>
          <w:szCs w:val="16"/>
          <w:color w:val="auto"/>
        </w:rPr>
        <w:t>An increase in market interest rates may cause a decline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of financial assets held at fair value on our consolidated statements of financial position. Although changes in the fair value of our financial assets due to changes in interest rates may impact the amount of equity reported in our consolidated statements of financial position, these changes will not cause an economic gain or loss unless we sell investments, terminate derivative positions, record an allowance for credit loss, or determine a derivative instrument is no longer an effective hedge.</w:t>
      </w:r>
    </w:p>
    <w:p>
      <w:pPr>
        <w:spacing w:after="0" w:line="169" w:lineRule="exact"/>
        <w:rPr>
          <w:sz w:val="20"/>
          <w:szCs w:val="20"/>
          <w:color w:val="auto"/>
        </w:rPr>
      </w:pPr>
    </w:p>
    <w:p>
      <w:pPr>
        <w:ind w:left="2" w:firstLine="576"/>
        <w:spacing w:after="0" w:line="275" w:lineRule="auto"/>
        <w:rPr>
          <w:sz w:val="20"/>
          <w:szCs w:val="20"/>
          <w:color w:val="auto"/>
        </w:rPr>
      </w:pPr>
      <w:r>
        <w:rPr>
          <w:rFonts w:ascii="Times New Roman" w:cs="Times New Roman" w:eastAsia="Times New Roman" w:hAnsi="Times New Roman"/>
          <w:sz w:val="14"/>
          <w:szCs w:val="14"/>
          <w:color w:val="auto"/>
        </w:rPr>
        <w:t>We estimate a hypothetical 100 basis point immediate, parallel increase in interest rates would reduce the net reported fair value of our financial assets and derivatives by $2,789.2 million as of March 31, 2025, compared to $2,670.8 million as of December 31, 2024. This estimate only reflects the change in fair value for financial assets and derivatives reported at fair value on our consolidated statements of financial position. Assets and liabilities not reported at fair value on our consolidated statements of financial position – including mortgage loans, liabilities relating to insurance contracts, investment contracts, debt and bank deposits – are excluded from this sensitivity analysis. We believe the excluded liability items would economically serve as a partial offset to the net interest rate risk of the financial instruments included in the sensitivity analysis. Separate account assets and liabilities are also excluded from this estimate, as any interest rate risk is borne by the holder of the separate account. Assets backing reserves as part of a coinsurance with funds withheld agreement are excluded from this estimate, as any interest rate risk is passed to the reinsurer. For more information on fair value measurements, see Item 8. “Financial Statements and Supplementary Data, Notes to Consolidated Financial Statements, Note 18, Fair Value Measurements” in our Annual Report on Form 10-K for the year ended December 31, 2024.</w:t>
      </w:r>
    </w:p>
    <w:p>
      <w:pPr>
        <w:spacing w:after="0" w:line="200" w:lineRule="exact"/>
        <w:rPr>
          <w:sz w:val="20"/>
          <w:szCs w:val="20"/>
          <w:color w:val="auto"/>
        </w:rPr>
      </w:pPr>
    </w:p>
    <w:p>
      <w:pPr>
        <w:spacing w:after="0" w:line="32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43" w:name="page144"/>
    <w:bookmarkEnd w:id="14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0" w:firstLine="576"/>
        <w:spacing w:after="0" w:line="239" w:lineRule="auto"/>
        <w:rPr>
          <w:sz w:val="20"/>
          <w:szCs w:val="20"/>
          <w:color w:val="auto"/>
        </w:rPr>
      </w:pPr>
      <w:r>
        <w:rPr>
          <w:rFonts w:ascii="Times New Roman" w:cs="Times New Roman" w:eastAsia="Times New Roman" w:hAnsi="Times New Roman"/>
          <w:sz w:val="16"/>
          <w:szCs w:val="16"/>
          <w:color w:val="auto"/>
        </w:rPr>
        <w:t>Our selection of a 100 basis point immediate, parallel increase in interest rates is a hypothetical rate scenario we use to demonstrate potential risk. While a 100 basis point immediate, parallel increase does not represent our view of future market changes, it is a near term reasonably possible hypothetical change that illustrates the potential impact of such events. While this sensitivity analysis provides a representation of interest rate sensitivity, it is based on our portfolio exposures at a point in time and may not be representative of future market results. These exposures will change as a result of ongoing portfolio transactions in response to new business, management’s assessment of changing market conditions and available investment opportunities.</w:t>
      </w:r>
    </w:p>
    <w:p>
      <w:pPr>
        <w:spacing w:after="0" w:line="173"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Our net estimated potential loss in fair value as of March 31, 2025, increased $118.4 million from December 31, 2024, primarily driven by growth in the portfolio.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 Management</w:t>
      </w:r>
    </w:p>
    <w:p>
      <w:pPr>
        <w:spacing w:after="0" w:line="192" w:lineRule="exact"/>
        <w:rPr>
          <w:sz w:val="20"/>
          <w:szCs w:val="20"/>
          <w:color w:val="auto"/>
        </w:rPr>
      </w:pPr>
    </w:p>
    <w:p>
      <w:pPr>
        <w:ind w:right="220" w:firstLine="576"/>
        <w:spacing w:after="0" w:line="247" w:lineRule="auto"/>
        <w:rPr>
          <w:sz w:val="20"/>
          <w:szCs w:val="20"/>
          <w:color w:val="auto"/>
        </w:rPr>
      </w:pPr>
      <w:r>
        <w:rPr>
          <w:rFonts w:ascii="Times New Roman" w:cs="Times New Roman" w:eastAsia="Times New Roman" w:hAnsi="Times New Roman"/>
          <w:sz w:val="16"/>
          <w:szCs w:val="16"/>
          <w:color w:val="auto"/>
        </w:rPr>
        <w:t>We manage interest rate risk through the use of an integrated risk management framework. This helps us identify, assess, monitor, report and manage our risks within established limits and risk tolerances. Our internal risk committees monitor and discuss our risk profile and identify necessary actions to mitigate impacts from interest rate risk.</w:t>
      </w:r>
    </w:p>
    <w:p>
      <w:pPr>
        <w:spacing w:after="0" w:line="164"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The product designs within our business units result in a variety of different interest rate risk profiles. Therefore, our business units use a variety of different approaches for managing their asset and liability interest rate risks.</w:t>
      </w:r>
    </w:p>
    <w:p>
      <w:pPr>
        <w:spacing w:after="0" w:line="153" w:lineRule="exact"/>
        <w:rPr>
          <w:sz w:val="20"/>
          <w:szCs w:val="20"/>
          <w:color w:val="auto"/>
        </w:rPr>
      </w:pPr>
    </w:p>
    <w:p>
      <w:pPr>
        <w:jc w:val="both"/>
        <w:ind w:left="860" w:right="280" w:hanging="286"/>
        <w:spacing w:after="0" w:line="248" w:lineRule="auto"/>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Retirement Business Stable Cash Flows </w:t>
      </w:r>
      <w:r>
        <w:rPr>
          <w:rFonts w:ascii="Times New Roman" w:cs="Times New Roman" w:eastAsia="Times New Roman" w:hAnsi="Times New Roman"/>
          <w:sz w:val="16"/>
          <w:szCs w:val="16"/>
          <w:color w:val="auto"/>
        </w:rPr>
        <w:t>– For stable and predictable cash flow liabilities, such as pension risk transfer, WSRS,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only, we use investment strategy and hedges to tightly align the cash flow run off of these asset and liability cash flows. Immunization analysis is also utilized in the management of interest rate risk.</w:t>
      </w:r>
    </w:p>
    <w:p>
      <w:pPr>
        <w:spacing w:after="0" w:line="161" w:lineRule="exact"/>
        <w:rPr>
          <w:rFonts w:ascii="Times New Roman" w:cs="Times New Roman" w:eastAsia="Times New Roman" w:hAnsi="Times New Roman"/>
          <w:sz w:val="16"/>
          <w:szCs w:val="16"/>
          <w:color w:val="auto"/>
        </w:rPr>
      </w:pPr>
    </w:p>
    <w:p>
      <w:pPr>
        <w:ind w:left="860" w:hanging="286"/>
        <w:spacing w:after="0" w:line="248" w:lineRule="auto"/>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 Insurance Stable Cash Flows </w:t>
      </w:r>
      <w:r>
        <w:rPr>
          <w:rFonts w:ascii="Times New Roman" w:cs="Times New Roman" w:eastAsia="Times New Roman" w:hAnsi="Times New Roman"/>
          <w:sz w:val="16"/>
          <w:szCs w:val="16"/>
          <w:color w:val="auto"/>
        </w:rPr>
        <w:t>– Our insurance businesses in many instances contain long-term guarantees with stable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predictable liability cash flows and recurring premiums. We manage the interest rate risk through investment strategy, product crediting rates and analyzing duration and embedded value sensitivity.</w:t>
      </w:r>
    </w:p>
    <w:p>
      <w:pPr>
        <w:spacing w:after="0" w:line="161" w:lineRule="exact"/>
        <w:rPr>
          <w:rFonts w:ascii="Times New Roman" w:cs="Times New Roman" w:eastAsia="Times New Roman" w:hAnsi="Times New Roman"/>
          <w:sz w:val="16"/>
          <w:szCs w:val="16"/>
          <w:color w:val="auto"/>
        </w:rPr>
      </w:pPr>
    </w:p>
    <w:p>
      <w:pPr>
        <w:ind w:left="860" w:right="80" w:hanging="286"/>
        <w:spacing w:after="0" w:line="301" w:lineRule="auto"/>
        <w:tabs>
          <w:tab w:leader="none" w:pos="8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Principal Asset Management </w:t>
      </w:r>
      <w:r>
        <w:rPr>
          <w:rFonts w:ascii="Times New Roman" w:cs="Times New Roman" w:eastAsia="Times New Roman" w:hAnsi="Times New Roman"/>
          <w:sz w:val="14"/>
          <w:szCs w:val="14"/>
          <w:color w:val="auto"/>
        </w:rPr>
        <w:t>– Our international businesses operate within local regulations and financial market conditions (e.g.,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markets, assets available) to achieve similar asset and liability cash flow management objectives. In locations with a limited availability of long-dated assets and derivative markets, the duration gap is managed to risk tolerances specific to each location.</w:t>
      </w:r>
    </w:p>
    <w:p>
      <w:pPr>
        <w:spacing w:after="0" w:line="128"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6"/>
          <w:szCs w:val="16"/>
          <w:color w:val="auto"/>
        </w:rPr>
        <w:t>We also limit our exposure to interest rate risk through our business mix and strategy. We have intentionally limited our exposure to specific products where investment margins are critical to the product’s profitability, and we continue to emphasize the sale of products that generate revenues in the form of fees for service or premiums for insurance coverage and expose us to minimal interest rate risk.</w:t>
      </w:r>
    </w:p>
    <w:p>
      <w:pPr>
        <w:spacing w:after="0" w:line="164"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6"/>
          <w:szCs w:val="16"/>
          <w:color w:val="auto"/>
        </w:rPr>
        <w:t>Prepayment risk is controlled by limiting our exposure to investments that are prepayable without penalty prior to maturity at the option of the issuer. We also require additional yield on these investments to compensate for the risk the issuer will exercise such option. Prepayment risk is also controlled by limiting the sales of liabilities with features such as puts or other options that can be exercised at inopportune times. We manage the interest rate risk associated with our long-term borrowings by monitoring the interest rate environment and evaluating refinancing opportunities as maturity dates approach.</w:t>
      </w:r>
    </w:p>
    <w:p>
      <w:pPr>
        <w:spacing w:after="0" w:line="169"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The plan fiduciaries use a Dynamic Asset Allocation strategy for our qualified defined benefit pension plan, which strategically allocates an increasing portion of the assets of the pension plan to fixed income securities as the funding status improves. The intended purpose of using the Dynamic Asset Allocation strategy is that the expected change in the value of the plan assets and the change in pension benefit obligation due to market movements are more likely to have more correlation versus a static allocation of assets between categories. For more information see Item 7. “Management’s Discussion and Analysis of Financial Condition and Results of Operations — Critical Accounting Policies and Estimates — Benefit Plans” and Item 8. “Financial Statements and Supplementary Data, Notes to Consolidated Financial Statements, Note 15, Employee and Agent Benefits” in our Annual Report on Form 10-K for the year ended December 31,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44" w:name="page145"/>
    <w:bookmarkEnd w:id="14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Use of Derivatives to Manage Interest Rate Risk. </w:t>
      </w:r>
      <w:r>
        <w:rPr>
          <w:rFonts w:ascii="Times New Roman" w:cs="Times New Roman" w:eastAsia="Times New Roman" w:hAnsi="Times New Roman"/>
          <w:sz w:val="16"/>
          <w:szCs w:val="16"/>
          <w:color w:val="auto"/>
        </w:rPr>
        <w:t>We use or have used various derivative financial instruments to manage our exposure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fluctuations in interest rates, including interest rate swaps, interest rate options, TBA forwards, bond forwards, treasury forwards, swaptions and futures. We use interest rate swaps, treasury forwards and futures contracts to hedge against changes in the value of the GMWB MRB. We use interest rate swaps, treasury forwards and have used TBA forwards primarily to more closely match the interest rate characteristics of assets and liabilities. They can be used to change the sensitivity to the interest rate of specific assets and liabilities as well as an entire portfolio. We use interest rate swaps to manage our exposure to cash flow variability on recognized assets due to fluctuations in market interest rates. We use bond forwards to fix the purchase price of a bond at a specified date in the future. We use interest rate options to manage prepayment risks in our assets and minimum guaranteed interest rates and lapse risks in our liabilities. We have purchased swaptions to hedge interest rate exposure for certain assets and liabilities.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90"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6"/>
          <w:szCs w:val="16"/>
          <w:color w:val="auto"/>
        </w:rPr>
        <w:t>Foreign currency risk is the risk we will incur economic losses due to adverse fluctuations in foreign currency exchange rates. This risk arises from foreign currency -denominated funding agreements issued to nonqualified institutional investors in the international market, foreign currency-denominated fixed maturity and equity securities, and our international operations, including expected cash flows and potential acquisition and divestiture activity.</w:t>
      </w:r>
    </w:p>
    <w:p>
      <w:pPr>
        <w:spacing w:after="0" w:line="167" w:lineRule="exact"/>
        <w:rPr>
          <w:sz w:val="20"/>
          <w:szCs w:val="20"/>
          <w:color w:val="auto"/>
        </w:rPr>
      </w:pPr>
    </w:p>
    <w:p>
      <w:pPr>
        <w:ind w:right="200" w:firstLine="576"/>
        <w:spacing w:after="0" w:line="241" w:lineRule="auto"/>
        <w:rPr>
          <w:sz w:val="20"/>
          <w:szCs w:val="20"/>
          <w:color w:val="auto"/>
        </w:rPr>
      </w:pPr>
      <w:r>
        <w:rPr>
          <w:rFonts w:ascii="Times New Roman" w:cs="Times New Roman" w:eastAsia="Times New Roman" w:hAnsi="Times New Roman"/>
          <w:sz w:val="16"/>
          <w:szCs w:val="16"/>
          <w:color w:val="auto"/>
        </w:rPr>
        <w:t>We estimate as of March 31, 2025, a 10% immediate unfavorable change in each of the foreign currency exchange rates to which we are exposed would result in no material change to the net fair value of our foreign currency-denominated instruments identified above because we effectively hedge foreign currency-denominated instruments to minimize exchange rate impacts, which is consistent with our estimate as of December 31, 2024. However, fluctuations in foreign currency exchange rates do affect the translation of segment pre-tax operating earnings and equity of our international operations into our consolidated financial statements.</w:t>
      </w:r>
    </w:p>
    <w:p>
      <w:pPr>
        <w:spacing w:after="0" w:line="169" w:lineRule="exact"/>
        <w:rPr>
          <w:sz w:val="20"/>
          <w:szCs w:val="20"/>
          <w:color w:val="auto"/>
        </w:rPr>
      </w:pPr>
    </w:p>
    <w:p>
      <w:pPr>
        <w:ind w:right="40" w:firstLine="576"/>
        <w:spacing w:after="0" w:line="280" w:lineRule="auto"/>
        <w:rPr>
          <w:sz w:val="20"/>
          <w:szCs w:val="20"/>
          <w:color w:val="auto"/>
        </w:rPr>
      </w:pPr>
      <w:r>
        <w:rPr>
          <w:rFonts w:ascii="Times New Roman" w:cs="Times New Roman" w:eastAsia="Times New Roman" w:hAnsi="Times New Roman"/>
          <w:sz w:val="14"/>
          <w:szCs w:val="14"/>
          <w:color w:val="auto"/>
        </w:rPr>
        <w:t>For our international operations, we estimate a 10% immediate unfavorable change in each of the foreign currency exchange rates to which we were exposed would have resulted in a $277.8 million, or 7%, reduction in the total equity excluding noncontrolling interests of our international operations as of March 31, 2025, as compared to an estimated $277.0 million, or 7%, reduction as of December 31, 2024. We estimate a 10% unfavorable change in the average foreign currency exchange rates to which we were exposed through our international operations would have resulted in a $10.3 million, or 6%, reduction in segment pre -tax operating earnings of our international operations for the three months ended March 31, 2025, as compared to an estimated $9.6 million, or 5%, reduction for the three months ended March 31, 2024.</w:t>
      </w:r>
    </w:p>
    <w:p>
      <w:pPr>
        <w:spacing w:after="0" w:line="145"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The selection of a 10% immediate unfavorable change in all currency exchange rates should not be construed as a prediction by us of future market events, but rather as an illustration of the potential impact of such an event. These exposures will change as a result of a change in the size and mix of our foreign operations.</w:t>
      </w:r>
    </w:p>
    <w:p>
      <w:pPr>
        <w:spacing w:after="0" w:line="162"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Use of Derivatives to Manage Foreign Currency Risk. </w:t>
      </w:r>
      <w:r>
        <w:rPr>
          <w:rFonts w:ascii="Times New Roman" w:cs="Times New Roman" w:eastAsia="Times New Roman" w:hAnsi="Times New Roman"/>
          <w:sz w:val="16"/>
          <w:szCs w:val="16"/>
          <w:color w:val="auto"/>
        </w:rPr>
        <w:t>The foreign currency risk on funding agreements and fixed maturities in our 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is mitigated by using currency swaps that swap the foreign currency interest and principal payments to our functional currency. We did not have currency swap agreements associated with foreign-denominated liabilities as of March 31, 2025 and December 31, 2024. The notional amount of our currency swap agreements associated with foreign-denominated fixed maturities was $2,829.7 million and $2,669.3 million as of March 31, 2025 and December 31, 2024, respectively.</w:t>
      </w:r>
    </w:p>
    <w:p>
      <w:pPr>
        <w:spacing w:after="0" w:line="171" w:lineRule="exact"/>
        <w:rPr>
          <w:sz w:val="20"/>
          <w:szCs w:val="20"/>
          <w:color w:val="auto"/>
        </w:rPr>
      </w:pPr>
    </w:p>
    <w:p>
      <w:pPr>
        <w:ind w:right="160" w:firstLine="576"/>
        <w:spacing w:after="0" w:line="241" w:lineRule="auto"/>
        <w:rPr>
          <w:sz w:val="20"/>
          <w:szCs w:val="20"/>
          <w:color w:val="auto"/>
        </w:rPr>
      </w:pPr>
      <w:r>
        <w:rPr>
          <w:rFonts w:ascii="Times New Roman" w:cs="Times New Roman" w:eastAsia="Times New Roman" w:hAnsi="Times New Roman"/>
          <w:sz w:val="16"/>
          <w:szCs w:val="16"/>
          <w:color w:val="auto"/>
        </w:rPr>
        <w:t>With regard to our international operations, in order to enhance the diversification of our investment portfolios we may invest in bonds denominated in a currency that is different than the currency of our liabilities. We use foreign exchange derivatives to economically hedge the currency mismatch. Our international operations had currency swaps with a notional amount of $205.5 million and $214.5 million as of March 31, 2025 and December 31, 2024, respectively. Our international operations also utilized currency forwards with a notional amount of $680.9 million and $694.8 million as of March 31, 2025 and December 31, 2024, respectively.</w:t>
      </w:r>
    </w:p>
    <w:p>
      <w:pPr>
        <w:spacing w:after="0" w:line="169"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We use currency forwards to hedge currency risk associated with expected cash flows in our foreign operations. We held currency forwards with a notional of $191.0 million and $179.7 million as of March 31, 2025 and December 31, 2024, respectively.</w:t>
      </w:r>
    </w:p>
    <w:p>
      <w:pPr>
        <w:spacing w:after="0" w:line="155"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Additionally, we use currency forwards to hedge net equity investments in our foreign operations, including certain sponsored investment funds. We held currency forwards with a notional amount of $50.3 million and $50.8 million as of March 31, 2025 and December 31, 2024, respectively.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557" w:right="1320" w:bottom="1440" w:gutter="0" w:footer="0" w:header="0"/>
        </w:sectPr>
      </w:pPr>
    </w:p>
    <w:bookmarkStart w:id="145" w:name="page146"/>
    <w:bookmarkEnd w:id="14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0" w:firstLine="576"/>
        <w:spacing w:after="0" w:line="259" w:lineRule="auto"/>
        <w:rPr>
          <w:sz w:val="20"/>
          <w:szCs w:val="20"/>
          <w:color w:val="auto"/>
        </w:rPr>
      </w:pPr>
      <w:r>
        <w:rPr>
          <w:rFonts w:ascii="Times New Roman" w:cs="Times New Roman" w:eastAsia="Times New Roman" w:hAnsi="Times New Roman"/>
          <w:sz w:val="16"/>
          <w:szCs w:val="16"/>
          <w:color w:val="auto"/>
        </w:rPr>
        <w:t>We also use currency forwards to hedge certain foreign-denominated investments in our domestic operations. We held currency forwards with a notional amount of $56.0 million and $55.9 million as of March 31, 2025 and December 31, 2024,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Risk</w:t>
      </w:r>
    </w:p>
    <w:p>
      <w:pPr>
        <w:spacing w:after="0" w:line="19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Equity risk is the risk we will incur economic losses due to adverse fluctuations in equity markets. As of March 31, 2025 and December 31, 2024, the fair value of our equity securities was $2,428.9 million and $2,295.0 million, respectively. We estimate a 10% decline in the prices of the equity securities would result in a decline in fair value of our equity securities of $242.9 million as of March 31, 2025, as compared to a decline in fair value of our equity securities of $229.5 million as of December 31, 2024.</w:t>
      </w:r>
    </w:p>
    <w:p>
      <w:pPr>
        <w:spacing w:after="0" w:line="167" w:lineRule="exact"/>
        <w:rPr>
          <w:sz w:val="20"/>
          <w:szCs w:val="20"/>
          <w:color w:val="auto"/>
        </w:rPr>
      </w:pPr>
    </w:p>
    <w:p>
      <w:pPr>
        <w:ind w:right="620" w:firstLine="576"/>
        <w:spacing w:after="0" w:line="259" w:lineRule="auto"/>
        <w:rPr>
          <w:sz w:val="20"/>
          <w:szCs w:val="20"/>
          <w:color w:val="auto"/>
        </w:rPr>
      </w:pPr>
      <w:r>
        <w:rPr>
          <w:rFonts w:ascii="Times New Roman" w:cs="Times New Roman" w:eastAsia="Times New Roman" w:hAnsi="Times New Roman"/>
          <w:sz w:val="16"/>
          <w:szCs w:val="16"/>
          <w:color w:val="auto"/>
        </w:rPr>
        <w:t>We are also exposed to the risk that asset-based fees decrease as a result of declines in assets under management due to changes in investment prices and the risk that asset management fees calculated by reference to performance could be lower.</w:t>
      </w:r>
    </w:p>
    <w:p>
      <w:pPr>
        <w:spacing w:after="0" w:line="155"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We also have equity risk associated with (1) universal life contracts that credit interest to customers based on changes in an external equity index; (2) variable annuity contracts that have a GMWB rider that allows the customer to make withdrawals of a specified annual amount, either for a fixed number of years or for the lifetime of the customer, even if the account value is reduced to zero; (3) variable annuity contracts that have a GMDB that allows the death benefit to be paid, even if the account value has fallen below the GMDB amount; (4) SEC-registered annuity contracts with returns linked to an external equity index and (5) investment contracts in which the return is subject to minimum contractual guarantees. We are also subject to equity risk based upon the assets that support our employee benefit plans. For further discussion of equity risk associated with these plans, see Item 7. “Management’s Discussion and Analysis of Financial Condition and Results of Operations — Critical Accounting Policies and Estimates — Benefit Plans” in our Annual Report on Form 10-K for the year ended December 31, 2024.</w:t>
      </w:r>
    </w:p>
    <w:p>
      <w:pPr>
        <w:spacing w:after="0" w:line="173"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6"/>
          <w:szCs w:val="16"/>
          <w:color w:val="auto"/>
        </w:rPr>
        <w:t>We estimate an immediate 10% downward equity shock, followed by a 2% per quarter increase would reduce our annual segment pre-tax operating earnings by approximately 5% to 8% over the next twelve months. The selection of a 10% unfavorable equity shock should not be construed as a prediction by us of future market events, but rather as an illustration of the potential impact of such an event. Our exposure will change as a result of changes in our mix of business.</w:t>
      </w:r>
    </w:p>
    <w:p>
      <w:pPr>
        <w:spacing w:after="0" w:line="167" w:lineRule="exact"/>
        <w:rPr>
          <w:sz w:val="20"/>
          <w:szCs w:val="20"/>
          <w:color w:val="auto"/>
        </w:rPr>
      </w:pPr>
    </w:p>
    <w:p>
      <w:pPr>
        <w:ind w:right="80" w:firstLine="576"/>
        <w:spacing w:after="0" w:line="238" w:lineRule="auto"/>
        <w:rPr>
          <w:sz w:val="20"/>
          <w:szCs w:val="20"/>
          <w:color w:val="auto"/>
        </w:rPr>
      </w:pPr>
      <w:r>
        <w:rPr>
          <w:rFonts w:ascii="Times New Roman" w:cs="Times New Roman" w:eastAsia="Times New Roman" w:hAnsi="Times New Roman"/>
          <w:sz w:val="16"/>
          <w:szCs w:val="16"/>
          <w:color w:val="auto"/>
        </w:rPr>
        <w:t>Separate and distinct from our equity risk associated with a decline in the equity indices, we also have equity risk associated with certain domestic alternative investments. These investments are comprised of several asset categories (including hedge funds, private equity, infrastructure and direct lending) that provide an attractive asset match to our long-dated liabilities and create diversification benefits to our fixed income investments. The risk profile of these investments is actively monitored by our Investment Committee and our corporate risk management function. Changes in the value of these investments will impact earnings. We estimate an immediate 10% decline in the value of those assets, followed by a 2% per quarter increase would reduce our annual segment pre-tax operating earnings by less than 8%. The selection of a 10% unfavorable change in the value of those assets should not be construed as a prediction of future market events, but rather as an illustration of the potential impact of such a decline in value of those assets.</w:t>
      </w:r>
    </w:p>
    <w:p>
      <w:pPr>
        <w:spacing w:after="0" w:line="171" w:lineRule="exact"/>
        <w:rPr>
          <w:sz w:val="20"/>
          <w:szCs w:val="20"/>
          <w:color w:val="auto"/>
        </w:rPr>
      </w:pPr>
    </w:p>
    <w:p>
      <w:pPr>
        <w:ind w:right="80" w:firstLine="576"/>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Use of Derivatives to Manage Equity Risk. </w:t>
      </w:r>
      <w:r>
        <w:rPr>
          <w:rFonts w:ascii="Times New Roman" w:cs="Times New Roman" w:eastAsia="Times New Roman" w:hAnsi="Times New Roman"/>
          <w:sz w:val="14"/>
          <w:szCs w:val="14"/>
          <w:color w:val="auto"/>
        </w:rPr>
        <w:t>We economically hedge the universal life products, where the interest credited is linked 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external equity index, by purchasing options that match the product’s profile or selling options to offset existing exposures. We economically hedge certain investments using total return swaps to swap the equity risk for income enhancement. We economically hedge RILA index credit exposure using options and futures. We economically hedge the GMWB rider MRB exposure, which includes interest rate risk and equity risk, using futures, options, treasury forwards and interest rate swaps with notional amounts of $7,879.3 million and $7,678.0 million as of March 31, 2025, and December 31, 2024, respectively. The fair value of both MRBs and associated hedging instruments are sensitive to financial market conditions and the variance related to the change in fair value of these items for a given period is largely dependent on market conditions at the end of the period.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46" w:name="page147"/>
    <w:bookmarkEnd w:id="14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90"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In order to ensure that the information that we must disclose in our filings with the SEC is recorded, processed, summarized and reported on a timely basis, we have adopted disclosure controls and procedures. Disclosure controls and procedures include, without limitation, controls and procedures designed to ensure that information required to be disclosed by us in the reports that we file with or submit to the SEC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ind w:right="300" w:firstLine="576"/>
        <w:spacing w:after="0" w:line="331" w:lineRule="auto"/>
        <w:rPr>
          <w:sz w:val="20"/>
          <w:szCs w:val="20"/>
          <w:color w:val="auto"/>
        </w:rPr>
      </w:pPr>
      <w:r>
        <w:rPr>
          <w:rFonts w:ascii="Times New Roman" w:cs="Times New Roman" w:eastAsia="Times New Roman" w:hAnsi="Times New Roman"/>
          <w:sz w:val="14"/>
          <w:szCs w:val="14"/>
          <w:color w:val="auto"/>
        </w:rPr>
        <w:t>Our Chief Executive Officer, Deanna D. Strable-Soethout, and our Interim Chief Financial Officer, Joel M. Pitz, have reviewed and evaluated our disclosure controls and procedures as of March 31, 2025, and have concluded our disclosure controls and procedures are effective.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0"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We had no change in our internal control over financial reporting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57" w:right="1300" w:bottom="1440" w:gutter="0" w:footer="0" w:header="0"/>
        </w:sectPr>
      </w:pPr>
    </w:p>
    <w:bookmarkStart w:id="147" w:name="page148"/>
    <w:bookmarkEnd w:id="147"/>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0" w:lineRule="exact"/>
        <w:rPr>
          <w:sz w:val="20"/>
          <w:szCs w:val="20"/>
          <w:color w:val="auto"/>
        </w:rPr>
      </w:pPr>
    </w:p>
    <w:p>
      <w:pPr>
        <w:ind w:left="2" w:right="40" w:firstLine="576"/>
        <w:spacing w:after="0" w:line="247" w:lineRule="auto"/>
        <w:rPr>
          <w:sz w:val="20"/>
          <w:szCs w:val="20"/>
          <w:color w:val="auto"/>
        </w:rPr>
      </w:pPr>
      <w:r>
        <w:rPr>
          <w:rFonts w:ascii="Times New Roman" w:cs="Times New Roman" w:eastAsia="Times New Roman" w:hAnsi="Times New Roman"/>
          <w:sz w:val="16"/>
          <w:szCs w:val="16"/>
          <w:color w:val="auto"/>
        </w:rPr>
        <w:t>Disclosure concerning legal proceedings can be found in Part I, Item 1. “Financial Statements, Notes to Unaudited Condensed Consolidated Financial Statements, Note 15, Contingencies, Guarantees and Indemnifications” under the caption, “Litigation and Regulatory Contingencies,” which is incorporated here by this reference.</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0" w:lineRule="exact"/>
        <w:rPr>
          <w:sz w:val="20"/>
          <w:szCs w:val="20"/>
          <w:color w:val="auto"/>
        </w:rPr>
      </w:pPr>
    </w:p>
    <w:p>
      <w:pPr>
        <w:ind w:left="2" w:firstLine="576"/>
        <w:spacing w:after="0" w:line="241"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consideration should be given to the factors discussed in Part I, Item 1A. “Risk Factors” in our Annual Report on Form 10-K for the year ended December 31, 2024. If any of those factors were to occur, they could materially adversely affect our business, financial condition or future results, and could cause actual results to differ materially from those expressed in forward-looking statements in this report. We have not had material changes with respect to the risk factors discussed in our Annual Report on Form 10-K for the year ended December 31, 2024.</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9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presents the amount of our common share purchase activity for the periods indicated.</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Maximum dollar</w:t>
            </w:r>
          </w:p>
        </w:tc>
      </w:tr>
      <w:tr>
        <w:trPr>
          <w:trHeight w:val="156"/>
        </w:trPr>
        <w:tc>
          <w:tcPr>
            <w:tcW w:w="2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value of shares</w:t>
            </w:r>
          </w:p>
        </w:tc>
      </w:tr>
      <w:tr>
        <w:trPr>
          <w:trHeight w:val="156"/>
        </w:trPr>
        <w:tc>
          <w:tcPr>
            <w:tcW w:w="2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that may yet be</w:t>
            </w:r>
          </w:p>
        </w:tc>
      </w:tr>
      <w:tr>
        <w:trPr>
          <w:trHeight w:val="156"/>
        </w:trPr>
        <w:tc>
          <w:tcPr>
            <w:tcW w:w="2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as part of publicly</w:t>
            </w:r>
          </w:p>
        </w:tc>
        <w:tc>
          <w:tcPr>
            <w:tcW w:w="18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purchased under</w:t>
            </w:r>
          </w:p>
        </w:tc>
      </w:tr>
      <w:tr>
        <w:trPr>
          <w:trHeight w:val="156"/>
        </w:trPr>
        <w:tc>
          <w:tcPr>
            <w:tcW w:w="2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9"/>
              </w:rPr>
              <w:t>price paid</w:t>
            </w: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w:t>
            </w:r>
          </w:p>
        </w:tc>
        <w:tc>
          <w:tcPr>
            <w:tcW w:w="18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the programs (in</w:t>
            </w:r>
          </w:p>
        </w:tc>
      </w:tr>
      <w:tr>
        <w:trPr>
          <w:trHeight w:val="170"/>
        </w:trPr>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9"/>
              </w:rPr>
              <w:t>per share</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millions) (2)</w:t>
            </w:r>
          </w:p>
        </w:tc>
      </w:tr>
      <w:tr>
        <w:trPr>
          <w:trHeight w:val="172"/>
        </w:trPr>
        <w:tc>
          <w:tcPr>
            <w:tcW w:w="43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January 1, 2025 — January 31, 2025</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883,214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80.07</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883,214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715.5</w:t>
            </w:r>
          </w:p>
        </w:tc>
      </w:tr>
      <w:tr>
        <w:trPr>
          <w:trHeight w:val="180"/>
        </w:trPr>
        <w:tc>
          <w:tcPr>
            <w:tcW w:w="43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February 1, 2025 — February 28, 2025</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778,084</w:t>
            </w:r>
          </w:p>
        </w:tc>
        <w:tc>
          <w:tcPr>
            <w:tcW w:w="340" w:type="dxa"/>
            <w:vAlign w:val="bottom"/>
            <w:gridSpan w:val="2"/>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83.13</w:t>
            </w:r>
          </w:p>
        </w:tc>
        <w:tc>
          <w:tcPr>
            <w:tcW w:w="1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664,501</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2,160.5</w:t>
            </w:r>
          </w:p>
        </w:tc>
      </w:tr>
      <w:tr>
        <w:trPr>
          <w:trHeight w:val="180"/>
        </w:trPr>
        <w:tc>
          <w:tcPr>
            <w:tcW w:w="43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March 1, 2025 — March 31, 2025</w:t>
            </w: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1,227,398</w:t>
            </w:r>
          </w:p>
        </w:tc>
        <w:tc>
          <w:tcPr>
            <w:tcW w:w="340" w:type="dxa"/>
            <w:vAlign w:val="bottom"/>
            <w:gridSpan w:val="2"/>
            <w:shd w:val="clear" w:color="auto" w:fill="CCEEFF"/>
          </w:tcPr>
          <w:p>
            <w:pPr>
              <w:jc w:val="right"/>
              <w:ind w:right="44"/>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85.41</w:t>
            </w:r>
          </w:p>
        </w:tc>
        <w:tc>
          <w:tcPr>
            <w:tcW w:w="1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888,509</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2,085.8</w:t>
            </w:r>
          </w:p>
        </w:tc>
      </w:tr>
      <w:tr>
        <w:trPr>
          <w:trHeight w:val="172"/>
        </w:trPr>
        <w:tc>
          <w:tcPr>
            <w:tcW w:w="43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2,888,696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2,436,224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2"/>
        </w:trPr>
        <w:tc>
          <w:tcPr>
            <w:tcW w:w="2320" w:type="dxa"/>
            <w:vAlign w:val="bottom"/>
            <w:tcBorders>
              <w:bottom w:val="single" w:sz="8" w:color="auto"/>
            </w:tcBorders>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59" w:lineRule="exact"/>
        <w:rPr>
          <w:sz w:val="20"/>
          <w:szCs w:val="20"/>
          <w:color w:val="auto"/>
        </w:rPr>
      </w:pPr>
    </w:p>
    <w:p>
      <w:pPr>
        <w:ind w:left="282" w:right="420" w:hanging="282"/>
        <w:spacing w:after="0" w:line="246" w:lineRule="auto"/>
        <w:tabs>
          <w:tab w:leader="none" w:pos="28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number of shares of common stock utilized to execute certain stock incentive awards and shares purchased as part of publicly announced programs.</w:t>
      </w:r>
    </w:p>
    <w:p>
      <w:pPr>
        <w:ind w:left="282" w:right="340" w:hanging="282"/>
        <w:spacing w:after="0" w:line="237" w:lineRule="auto"/>
        <w:tabs>
          <w:tab w:leader="none" w:pos="28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our Board authorized a share repurchase program of up to $1.5 billion of our outstanding common stock, which has no expiration date. In February 2025, our Board authorized a share repurchase program of up to $1.5 billion of our outstanding common stock, which has no expiration date.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90" w:lineRule="exact"/>
        <w:rPr>
          <w:sz w:val="20"/>
          <w:szCs w:val="20"/>
          <w:color w:val="auto"/>
        </w:rPr>
      </w:pPr>
    </w:p>
    <w:p>
      <w:pPr>
        <w:ind w:left="2" w:right="40" w:firstLine="576"/>
        <w:spacing w:after="0" w:line="241" w:lineRule="auto"/>
        <w:rPr>
          <w:sz w:val="20"/>
          <w:szCs w:val="20"/>
          <w:color w:val="auto"/>
        </w:rPr>
      </w:pPr>
      <w:r>
        <w:rPr>
          <w:rFonts w:ascii="Times New Roman" w:cs="Times New Roman" w:eastAsia="Times New Roman" w:hAnsi="Times New Roman"/>
          <w:sz w:val="16"/>
          <w:szCs w:val="16"/>
          <w:color w:val="auto"/>
        </w:rPr>
        <w:t>On March 13, 2025, Kenneth McCullum, Executive Vice President and Chief Risk Officer, adopted a Rule 10b5-1 trading arrangement that is intended to satisfy the affirmative defense of Rule 10b5-1(c) for the sale, by March 31, 2026, of up to (i) 5,130 shares of our common stock underlying stock options to the extent exercised for share purchases and (ii) the net shares received upon vesting after tax withholding from a restricted stock unit for 2,558 shares and a performance-based stock unit for a target number of 5,968 shares, plus all dividend equivalent units earned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48" w:name="page149"/>
    <w:bookmarkEnd w:id="148"/>
    <w:p>
      <w:pPr>
        <w:ind w:left="2"/>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Exhibit 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9"/>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tc>
        <w:tc>
          <w:tcPr>
            <w:tcW w:w="0" w:type="dxa"/>
            <w:vAlign w:val="bottom"/>
          </w:tcPr>
          <w:p>
            <w:pPr>
              <w:spacing w:after="0"/>
              <w:rPr>
                <w:sz w:val="1"/>
                <w:szCs w:val="1"/>
                <w:color w:val="auto"/>
              </w:rPr>
            </w:pPr>
          </w:p>
        </w:tc>
      </w:tr>
      <w:tr>
        <w:trPr>
          <w:trHeight w:val="148"/>
        </w:trPr>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9"/>
            <w:vMerge w:val="continue"/>
          </w:tcPr>
          <w:p>
            <w:pPr>
              <w:spacing w:after="0"/>
              <w:rPr>
                <w:sz w:val="12"/>
                <w:szCs w:val="12"/>
                <w:color w:val="auto"/>
              </w:rPr>
            </w:pPr>
          </w:p>
        </w:tc>
        <w:tc>
          <w:tcPr>
            <w:tcW w:w="800" w:type="dxa"/>
            <w:vAlign w:val="bottom"/>
          </w:tcPr>
          <w:p>
            <w:pPr>
              <w:ind w:left="240"/>
              <w:spacing w:after="0" w:line="148" w:lineRule="exact"/>
              <w:rPr>
                <w:sz w:val="20"/>
                <w:szCs w:val="20"/>
                <w:color w:val="auto"/>
              </w:rPr>
            </w:pPr>
            <w:r>
              <w:rPr>
                <w:rFonts w:ascii="Times New Roman" w:cs="Times New Roman" w:eastAsia="Times New Roman" w:hAnsi="Times New Roman"/>
                <w:sz w:val="13"/>
                <w:szCs w:val="13"/>
                <w:b w:val="1"/>
                <w:bCs w:val="1"/>
                <w:color w:val="auto"/>
              </w:rPr>
              <w:t>Form</w:t>
            </w:r>
          </w:p>
        </w:tc>
        <w:tc>
          <w:tcPr>
            <w:tcW w:w="260" w:type="dxa"/>
            <w:vAlign w:val="bottom"/>
          </w:tcPr>
          <w:p>
            <w:pPr>
              <w:spacing w:after="0"/>
              <w:rPr>
                <w:sz w:val="12"/>
                <w:szCs w:val="12"/>
                <w:color w:val="auto"/>
              </w:rPr>
            </w:pPr>
          </w:p>
        </w:tc>
        <w:tc>
          <w:tcPr>
            <w:tcW w:w="1020" w:type="dxa"/>
            <w:vAlign w:val="bottom"/>
          </w:tcPr>
          <w:p>
            <w:pPr>
              <w:ind w:left="240"/>
              <w:spacing w:after="0" w:line="148" w:lineRule="exact"/>
              <w:rPr>
                <w:sz w:val="20"/>
                <w:szCs w:val="20"/>
                <w:color w:val="auto"/>
              </w:rPr>
            </w:pPr>
            <w:r>
              <w:rPr>
                <w:rFonts w:ascii="Times New Roman" w:cs="Times New Roman" w:eastAsia="Times New Roman" w:hAnsi="Times New Roman"/>
                <w:sz w:val="13"/>
                <w:szCs w:val="13"/>
                <w:b w:val="1"/>
                <w:bCs w:val="1"/>
                <w:color w:val="auto"/>
              </w:rPr>
              <w:t>File Date</w:t>
            </w:r>
          </w:p>
        </w:tc>
        <w:tc>
          <w:tcPr>
            <w:tcW w:w="0" w:type="dxa"/>
            <w:vAlign w:val="bottom"/>
          </w:tcPr>
          <w:p>
            <w:pPr>
              <w:spacing w:after="0"/>
              <w:rPr>
                <w:sz w:val="1"/>
                <w:szCs w:val="1"/>
                <w:color w:val="auto"/>
              </w:rPr>
            </w:pPr>
          </w:p>
        </w:tc>
      </w:tr>
      <w:tr>
        <w:trPr>
          <w:trHeight w:val="148"/>
        </w:trPr>
        <w:tc>
          <w:tcPr>
            <w:tcW w:w="94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40" w:type="dxa"/>
            <w:vAlign w:val="bottom"/>
            <w:tcBorders>
              <w:top w:val="single" w:sz="8" w:color="auto"/>
            </w:tcBorders>
            <w:gridSpan w:val="11"/>
          </w:tcPr>
          <w:p>
            <w:pPr>
              <w:spacing w:after="0" w:line="148"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Eleventh Supplemental Indenture (including the form of 4.111% Senior Notes due 2028), dated</w:t>
              </w:r>
            </w:hyperlink>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9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as of March 15, 2025, among Principal Financial Group, Inc., as issuer, Principal Financial</w:t>
              </w:r>
            </w:hyperlink>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Services, Inc., as guarantor, and The Bank of New York Mellon Trust Company, N.A., as</w:t>
              </w:r>
            </w:hyperlink>
          </w:p>
        </w:tc>
        <w:tc>
          <w:tcPr>
            <w:tcW w:w="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3"/>
                <w:szCs w:val="13"/>
                <w:color w:val="auto"/>
              </w:rPr>
            </w:pPr>
          </w:p>
        </w:tc>
        <w:tc>
          <w:tcPr>
            <w:tcW w:w="560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trustee, relating to the 4.111% Senior Notes due 2028</w:t>
              </w:r>
            </w:hyperlink>
          </w:p>
        </w:tc>
        <w:tc>
          <w:tcPr>
            <w:tcW w:w="1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 of Deanna D. Strable-Soethout</w:t>
              </w:r>
            </w:hyperlink>
          </w:p>
        </w:tc>
        <w:tc>
          <w:tcPr>
            <w:tcW w:w="2400" w:type="dxa"/>
            <w:vAlign w:val="bottom"/>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3"/>
                <w:szCs w:val="13"/>
                <w:color w:val="auto"/>
              </w:rPr>
            </w:pPr>
          </w:p>
        </w:tc>
        <w:tc>
          <w:tcPr>
            <w:tcW w:w="27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 of Joel M. Pitz</w:t>
              </w:r>
            </w:hyperlink>
          </w:p>
        </w:tc>
        <w:tc>
          <w:tcPr>
            <w:tcW w:w="3000" w:type="dxa"/>
            <w:vAlign w:val="bottom"/>
            <w:gridSpan w:val="4"/>
          </w:tcPr>
          <w:p>
            <w:pPr>
              <w:spacing w:after="0"/>
              <w:rPr>
                <w:sz w:val="13"/>
                <w:szCs w:val="13"/>
                <w:color w:val="auto"/>
              </w:rPr>
            </w:pPr>
          </w:p>
        </w:tc>
        <w:tc>
          <w:tcPr>
            <w:tcW w:w="3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180" w:type="dxa"/>
            <w:vAlign w:val="bottom"/>
            <w:gridSpan w:val="1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 Pursuant to Section 1350 of Chapter 63 of Title 18 of the United States Code –</w:t>
              </w:r>
            </w:hyperlink>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3"/>
                <w:szCs w:val="13"/>
                <w:color w:val="auto"/>
              </w:rPr>
            </w:pPr>
          </w:p>
        </w:tc>
        <w:tc>
          <w:tcPr>
            <w:tcW w:w="17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Deanna D. Strable-Soethout</w:t>
              </w:r>
            </w:hyperlink>
          </w:p>
        </w:tc>
        <w:tc>
          <w:tcPr>
            <w:tcW w:w="3980" w:type="dxa"/>
            <w:vAlign w:val="bottom"/>
            <w:tcBorders>
              <w:top w:val="single" w:sz="8" w:color="0000EE"/>
            </w:tcBorders>
            <w:gridSpan w:val="5"/>
          </w:tcPr>
          <w:p>
            <w:pPr>
              <w:spacing w:after="0"/>
              <w:rPr>
                <w:sz w:val="13"/>
                <w:szCs w:val="13"/>
                <w:color w:val="auto"/>
              </w:rPr>
            </w:pPr>
          </w:p>
        </w:tc>
        <w:tc>
          <w:tcPr>
            <w:tcW w:w="3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180" w:type="dxa"/>
            <w:vAlign w:val="bottom"/>
            <w:gridSpan w:val="13"/>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Certification Pursuant to Section 1350 of Chapter 63 of Title 18 of the United States Code – Joel</w:t>
              </w:r>
            </w:hyperlink>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3"/>
                <w:szCs w:val="13"/>
                <w:color w:val="auto"/>
              </w:rPr>
            </w:pPr>
          </w:p>
        </w:tc>
        <w:tc>
          <w:tcPr>
            <w:tcW w:w="604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 Pitz</w:t>
              </w:r>
            </w:hyperlink>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Inline</w:t>
            </w:r>
          </w:p>
        </w:tc>
        <w:tc>
          <w:tcPr>
            <w:tcW w:w="5720" w:type="dxa"/>
            <w:vAlign w:val="bottom"/>
            <w:gridSpan w:val="11"/>
          </w:tcPr>
          <w:p>
            <w:pPr>
              <w:spacing w:after="0" w:line="171"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gridSpan w:val="13"/>
          </w:tcPr>
          <w:p>
            <w:pPr>
              <w:spacing w:after="0" w:line="180" w:lineRule="exact"/>
              <w:rPr>
                <w:sz w:val="20"/>
                <w:szCs w:val="20"/>
                <w:color w:val="auto"/>
              </w:rPr>
            </w:pPr>
            <w:r>
              <w:rPr>
                <w:rFonts w:ascii="Times New Roman" w:cs="Times New Roman" w:eastAsia="Times New Roman" w:hAnsi="Times New Roman"/>
                <w:sz w:val="16"/>
                <w:szCs w:val="16"/>
                <w:color w:val="auto"/>
              </w:rPr>
              <w:t>file because its XBRL tags are embedded within the Inline XBRL document.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5"/>
                <w:szCs w:val="15"/>
                <w:color w:val="auto"/>
              </w:rPr>
            </w:pPr>
          </w:p>
        </w:tc>
        <w:tc>
          <w:tcPr>
            <w:tcW w:w="6180" w:type="dxa"/>
            <w:vAlign w:val="bottom"/>
            <w:gridSpan w:val="13"/>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5"/>
                <w:szCs w:val="15"/>
                <w:color w:val="auto"/>
              </w:rPr>
            </w:pPr>
          </w:p>
        </w:tc>
        <w:tc>
          <w:tcPr>
            <w:tcW w:w="6180" w:type="dxa"/>
            <w:vAlign w:val="bottom"/>
            <w:gridSpan w:val="13"/>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5"/>
                <w:szCs w:val="15"/>
                <w:color w:val="auto"/>
              </w:rPr>
            </w:pPr>
          </w:p>
        </w:tc>
        <w:tc>
          <w:tcPr>
            <w:tcW w:w="6180" w:type="dxa"/>
            <w:vAlign w:val="bottom"/>
            <w:gridSpan w:val="13"/>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5"/>
                <w:szCs w:val="15"/>
                <w:color w:val="auto"/>
              </w:rPr>
            </w:pPr>
          </w:p>
        </w:tc>
        <w:tc>
          <w:tcPr>
            <w:tcW w:w="6180" w:type="dxa"/>
            <w:vAlign w:val="bottom"/>
            <w:gridSpan w:val="13"/>
          </w:tcPr>
          <w:p>
            <w:pPr>
              <w:spacing w:after="0" w:line="180" w:lineRule="exact"/>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7"/>
                <w:szCs w:val="17"/>
                <w:color w:val="auto"/>
              </w:rPr>
            </w:pPr>
          </w:p>
        </w:tc>
        <w:tc>
          <w:tcPr>
            <w:tcW w:w="61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82" w:right="2380" w:hanging="1082"/>
        <w:spacing w:after="0" w:line="238" w:lineRule="auto"/>
        <w:tabs>
          <w:tab w:leader="none" w:pos="108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Principal Financial Group, Inc.’s Quarterly Report on Form 10-Q for the period ended March 31, 2025 formatted in iXBRL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591502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7" w:right="1280" w:bottom="1440" w:gutter="0" w:footer="0" w:header="0"/>
        </w:sectPr>
      </w:pPr>
    </w:p>
    <w:bookmarkStart w:id="149" w:name="page150"/>
    <w:bookmarkEnd w:id="14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0"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628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PRINCIPAL FINANCIAL GROUP, INC.</w:t>
            </w:r>
          </w:p>
        </w:tc>
      </w:tr>
      <w:tr>
        <w:trPr>
          <w:trHeight w:val="35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Dated: April 30, 2025</w:t>
            </w:r>
          </w:p>
        </w:tc>
        <w:tc>
          <w:tcPr>
            <w:tcW w:w="628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By  /s/ Joel M. Pitz</w:t>
            </w:r>
          </w:p>
        </w:tc>
      </w:tr>
      <w:tr>
        <w:trPr>
          <w:trHeight w:val="159"/>
        </w:trPr>
        <w:tc>
          <w:tcPr>
            <w:tcW w:w="3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28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Joel M. Pitz</w:t>
            </w:r>
          </w:p>
        </w:tc>
      </w:tr>
      <w:tr>
        <w:trPr>
          <w:trHeight w:val="203"/>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Senior Vice President and Interim Chief Financial Officer</w:t>
            </w:r>
          </w:p>
        </w:tc>
      </w:tr>
      <w:tr>
        <w:trPr>
          <w:trHeight w:val="337"/>
        </w:trPr>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w w:val="98"/>
              </w:rPr>
              <w:t>Duly Authorized Officer, Principal Financial Officer, and Principal</w:t>
            </w:r>
          </w:p>
        </w:tc>
      </w:tr>
      <w:tr>
        <w:trPr>
          <w:trHeight w:val="203"/>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7" w:right="128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121285</wp:posOffset>
            </wp:positionV>
            <wp:extent cx="593026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30265" cy="762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136525</wp:posOffset>
            </wp:positionV>
            <wp:extent cx="593026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4.111% Senior Notes due 2028</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 FINANCIAL GROUP, INC.,</w:t>
      </w:r>
    </w:p>
    <w:p>
      <w:pPr>
        <w:spacing w:after="0" w:line="19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Issuer,</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and</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 FINANCIAL SERVICES, INC.,</w:t>
      </w:r>
    </w:p>
    <w:p>
      <w:pPr>
        <w:spacing w:after="0" w:line="19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Guarantor</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and</w:t>
      </w:r>
    </w:p>
    <w:p>
      <w:pPr>
        <w:spacing w:after="0" w:line="18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 BANK OF NEW YORK MELLON TRUST COMPANY, N.A.,</w:t>
      </w:r>
    </w:p>
    <w:p>
      <w:pPr>
        <w:spacing w:after="0" w:line="2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ELEVENTH SUPPLEMENTAL INDENTURE</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Dated as of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929005</wp:posOffset>
            </wp:positionV>
            <wp:extent cx="591502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15025" cy="1524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250825</wp:posOffset>
            </wp:positionV>
            <wp:extent cx="59302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0265" cy="762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266065</wp:posOffset>
            </wp:positionV>
            <wp:extent cx="593026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sectPr>
          <w:pgSz w:w="11900" w:h="16840" w:orient="portrait"/>
          <w:cols w:equalWidth="0" w:num="1">
            <w:col w:w="9180"/>
          </w:cols>
          <w:pgMar w:left="1440" w:top="555" w:right="128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764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740" w:type="dxa"/>
            <w:vAlign w:val="bottom"/>
          </w:tcPr>
          <w:p>
            <w:pPr>
              <w:spacing w:after="0"/>
              <w:rPr>
                <w:sz w:val="17"/>
                <w:szCs w:val="17"/>
                <w:color w:val="auto"/>
              </w:rPr>
            </w:pPr>
          </w:p>
        </w:tc>
      </w:tr>
      <w:tr>
        <w:trPr>
          <w:trHeight w:val="362"/>
        </w:trPr>
        <w:tc>
          <w:tcPr>
            <w:tcW w:w="9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62"/>
        </w:trPr>
        <w:tc>
          <w:tcPr>
            <w:tcW w:w="960" w:type="dxa"/>
            <w:vAlign w:val="bottom"/>
          </w:tcPr>
          <w:p>
            <w:pPr>
              <w:spacing w:after="0"/>
              <w:rPr>
                <w:sz w:val="24"/>
                <w:szCs w:val="24"/>
                <w:color w:val="auto"/>
              </w:rPr>
            </w:pPr>
          </w:p>
        </w:tc>
        <w:tc>
          <w:tcPr>
            <w:tcW w:w="76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ARTICLE I</w:t>
            </w:r>
          </w:p>
        </w:tc>
        <w:tc>
          <w:tcPr>
            <w:tcW w:w="740" w:type="dxa"/>
            <w:vAlign w:val="bottom"/>
          </w:tcPr>
          <w:p>
            <w:pPr>
              <w:spacing w:after="0"/>
              <w:rPr>
                <w:sz w:val="24"/>
                <w:szCs w:val="24"/>
                <w:color w:val="auto"/>
              </w:rPr>
            </w:pPr>
          </w:p>
        </w:tc>
      </w:tr>
      <w:tr>
        <w:trPr>
          <w:trHeight w:val="360"/>
        </w:trPr>
        <w:tc>
          <w:tcPr>
            <w:tcW w:w="960" w:type="dxa"/>
            <w:vAlign w:val="bottom"/>
          </w:tcPr>
          <w:p>
            <w:pPr>
              <w:spacing w:after="0"/>
              <w:rPr>
                <w:sz w:val="24"/>
                <w:szCs w:val="24"/>
                <w:color w:val="auto"/>
              </w:rPr>
            </w:pPr>
          </w:p>
        </w:tc>
        <w:tc>
          <w:tcPr>
            <w:tcW w:w="76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THE SERIES OF SECURITIES</w:t>
            </w:r>
          </w:p>
        </w:tc>
        <w:tc>
          <w:tcPr>
            <w:tcW w:w="740" w:type="dxa"/>
            <w:vAlign w:val="bottom"/>
          </w:tcPr>
          <w:p>
            <w:pPr>
              <w:spacing w:after="0"/>
              <w:rPr>
                <w:sz w:val="24"/>
                <w:szCs w:val="24"/>
                <w:color w:val="auto"/>
              </w:rPr>
            </w:pPr>
          </w:p>
        </w:tc>
      </w:tr>
      <w:tr>
        <w:trPr>
          <w:trHeight w:val="337"/>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Establishment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1.2</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Definitions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1.3</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Payment of Principal, Premium, if any, and Interest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Paying Agent.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1.5</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Denominations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1.6</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No Sinking Fund</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Restricted Legend</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1.8</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Global Securities.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1.9</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Transfer and Exchange</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1.10</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Defeasance</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1.11</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Optional Redemption</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Events of Default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60"/>
        </w:trPr>
        <w:tc>
          <w:tcPr>
            <w:tcW w:w="960" w:type="dxa"/>
            <w:vAlign w:val="bottom"/>
          </w:tcPr>
          <w:p>
            <w:pPr>
              <w:spacing w:after="0"/>
              <w:rPr>
                <w:sz w:val="24"/>
                <w:szCs w:val="24"/>
                <w:color w:val="auto"/>
              </w:rPr>
            </w:pPr>
          </w:p>
        </w:tc>
        <w:tc>
          <w:tcPr>
            <w:tcW w:w="764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7"/>
              </w:rPr>
              <w:t>ARTICLE II</w:t>
            </w:r>
          </w:p>
        </w:tc>
        <w:tc>
          <w:tcPr>
            <w:tcW w:w="740" w:type="dxa"/>
            <w:vAlign w:val="bottom"/>
          </w:tcPr>
          <w:p>
            <w:pPr>
              <w:spacing w:after="0"/>
              <w:rPr>
                <w:sz w:val="24"/>
                <w:szCs w:val="24"/>
                <w:color w:val="auto"/>
              </w:rPr>
            </w:pPr>
          </w:p>
        </w:tc>
      </w:tr>
      <w:tr>
        <w:trPr>
          <w:trHeight w:val="360"/>
        </w:trPr>
        <w:tc>
          <w:tcPr>
            <w:tcW w:w="960" w:type="dxa"/>
            <w:vAlign w:val="bottom"/>
          </w:tcPr>
          <w:p>
            <w:pPr>
              <w:spacing w:after="0"/>
              <w:rPr>
                <w:sz w:val="24"/>
                <w:szCs w:val="24"/>
                <w:color w:val="auto"/>
              </w:rPr>
            </w:pPr>
          </w:p>
        </w:tc>
        <w:tc>
          <w:tcPr>
            <w:tcW w:w="76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GUARANTEE</w:t>
            </w:r>
          </w:p>
        </w:tc>
        <w:tc>
          <w:tcPr>
            <w:tcW w:w="740" w:type="dxa"/>
            <w:vAlign w:val="bottom"/>
          </w:tcPr>
          <w:p>
            <w:pPr>
              <w:spacing w:after="0"/>
              <w:rPr>
                <w:sz w:val="24"/>
                <w:szCs w:val="24"/>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2.1</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Guarantee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360"/>
        </w:trPr>
        <w:tc>
          <w:tcPr>
            <w:tcW w:w="960" w:type="dxa"/>
            <w:vAlign w:val="bottom"/>
          </w:tcPr>
          <w:p>
            <w:pPr>
              <w:spacing w:after="0"/>
              <w:rPr>
                <w:sz w:val="24"/>
                <w:szCs w:val="24"/>
                <w:color w:val="auto"/>
              </w:rPr>
            </w:pPr>
          </w:p>
        </w:tc>
        <w:tc>
          <w:tcPr>
            <w:tcW w:w="76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8"/>
              </w:rPr>
              <w:t>ARTICLE III</w:t>
            </w:r>
          </w:p>
        </w:tc>
        <w:tc>
          <w:tcPr>
            <w:tcW w:w="740" w:type="dxa"/>
            <w:vAlign w:val="bottom"/>
          </w:tcPr>
          <w:p>
            <w:pPr>
              <w:spacing w:after="0"/>
              <w:rPr>
                <w:sz w:val="24"/>
                <w:szCs w:val="24"/>
                <w:color w:val="auto"/>
              </w:rPr>
            </w:pPr>
          </w:p>
        </w:tc>
      </w:tr>
      <w:tr>
        <w:trPr>
          <w:trHeight w:val="360"/>
        </w:trPr>
        <w:tc>
          <w:tcPr>
            <w:tcW w:w="960" w:type="dxa"/>
            <w:vAlign w:val="bottom"/>
          </w:tcPr>
          <w:p>
            <w:pPr>
              <w:spacing w:after="0"/>
              <w:rPr>
                <w:sz w:val="24"/>
                <w:szCs w:val="24"/>
                <w:color w:val="auto"/>
              </w:rPr>
            </w:pPr>
          </w:p>
        </w:tc>
        <w:tc>
          <w:tcPr>
            <w:tcW w:w="76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MISCELLANEOUS</w:t>
            </w:r>
          </w:p>
        </w:tc>
        <w:tc>
          <w:tcPr>
            <w:tcW w:w="740" w:type="dxa"/>
            <w:vAlign w:val="bottom"/>
          </w:tcPr>
          <w:p>
            <w:pPr>
              <w:spacing w:after="0"/>
              <w:rPr>
                <w:sz w:val="24"/>
                <w:szCs w:val="24"/>
                <w:color w:val="auto"/>
              </w:rPr>
            </w:pPr>
          </w:p>
        </w:tc>
      </w:tr>
      <w:tr>
        <w:trPr>
          <w:trHeight w:val="337"/>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3.1</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Recitals by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3.2</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Application of Supplemental Indenture</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3.3</w:t>
            </w:r>
          </w:p>
        </w:tc>
        <w:tc>
          <w:tcPr>
            <w:tcW w:w="76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Executed in Counterparts.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Governing Law; Waiver of Jury Trial</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Note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A-1</w:t>
            </w: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Exhibit B</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Legend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B-1</w:t>
            </w: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Exhibit C</w:t>
            </w:r>
          </w:p>
        </w:tc>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Guarantee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5" w:right="1280" w:bottom="1440"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ELEVENTH SUPPLEMENTAL INDENTURE</w:t>
      </w:r>
    </w:p>
    <w:p>
      <w:pPr>
        <w:spacing w:after="0" w:line="190" w:lineRule="exact"/>
        <w:rPr>
          <w:sz w:val="20"/>
          <w:szCs w:val="20"/>
          <w:color w:val="auto"/>
        </w:rPr>
      </w:pPr>
    </w:p>
    <w:p>
      <w:pPr>
        <w:ind w:right="80" w:firstLine="576"/>
        <w:spacing w:after="0" w:line="239" w:lineRule="auto"/>
        <w:rPr>
          <w:sz w:val="20"/>
          <w:szCs w:val="20"/>
          <w:color w:val="auto"/>
        </w:rPr>
      </w:pPr>
      <w:r>
        <w:rPr>
          <w:rFonts w:ascii="Times New Roman" w:cs="Times New Roman" w:eastAsia="Times New Roman" w:hAnsi="Times New Roman"/>
          <w:sz w:val="16"/>
          <w:szCs w:val="16"/>
          <w:color w:val="auto"/>
        </w:rPr>
        <w:t>ELEVENTH SUPPLEMENTAL INDENTURE, dated as of March 15, 2018, among PRINCIPAL FINANCIAL GROUP, INC., a corporation duly organized and existing under the laws of the State of Delaware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as further defined in the Original Indenture hereinafter referred to), PRINCIPAL FINANCIAL SERVICES, INC., a corporation duly organized and existing under the laws of the State of Iowa, as guarantor (the “</w:t>
      </w:r>
      <w:r>
        <w:rPr>
          <w:rFonts w:ascii="Times New Roman" w:cs="Times New Roman" w:eastAsia="Times New Roman" w:hAnsi="Times New Roman"/>
          <w:sz w:val="16"/>
          <w:szCs w:val="16"/>
          <w:u w:val="single" w:color="auto"/>
          <w:color w:val="auto"/>
        </w:rPr>
        <w:t>Guarantor</w:t>
      </w:r>
      <w:r>
        <w:rPr>
          <w:rFonts w:ascii="Times New Roman" w:cs="Times New Roman" w:eastAsia="Times New Roman" w:hAnsi="Times New Roman"/>
          <w:sz w:val="16"/>
          <w:szCs w:val="16"/>
          <w:color w:val="auto"/>
        </w:rPr>
        <w:t>”, as further defined in the Original Indenture hereinafter referred to), and THE BANK OF NEW YORK MELLON TRUST COMPANY, N.A., a national banking association incorporated and existing under the laws of the United States of America,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as further defined in the Original Indenture hereinafter referred to).</w:t>
      </w:r>
    </w:p>
    <w:p>
      <w:pPr>
        <w:spacing w:after="0" w:line="173"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WHEREAS, the Company, the Guarantor and the Trustee have heretofore entered into a Senior Indenture, dated as of May 21, 2009 (the “</w:t>
      </w:r>
      <w:r>
        <w:rPr>
          <w:rFonts w:ascii="Times New Roman" w:cs="Times New Roman" w:eastAsia="Times New Roman" w:hAnsi="Times New Roman"/>
          <w:sz w:val="16"/>
          <w:szCs w:val="16"/>
          <w:u w:val="single" w:color="auto"/>
          <w:color w:val="auto"/>
        </w:rPr>
        <w:t>Original Indenture</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240" w:firstLine="576"/>
        <w:spacing w:after="0" w:line="259" w:lineRule="auto"/>
        <w:rPr>
          <w:sz w:val="20"/>
          <w:szCs w:val="20"/>
          <w:color w:val="auto"/>
        </w:rPr>
      </w:pPr>
      <w:r>
        <w:rPr>
          <w:rFonts w:ascii="Times New Roman" w:cs="Times New Roman" w:eastAsia="Times New Roman" w:hAnsi="Times New Roman"/>
          <w:sz w:val="16"/>
          <w:szCs w:val="16"/>
          <w:color w:val="auto"/>
        </w:rPr>
        <w:t>WHEREAS, the Original Indenture is incorporated herein by this reference and the Original Indenture, as supplemented by this Eleventh Supplemental Indenture, is herein called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WHEREAS, Section 301 of the Original Indenture provides for various matters with respect to Securities issued under the Original Indenture to be established in an indenture supplemental to the Original Indenture, which, pursuant to Section 301(s) of the Original Indenture, may modify, amend, supplement or delete any of the terms of the Original Indenture with respect to the Securities;</w:t>
      </w:r>
    </w:p>
    <w:p>
      <w:pPr>
        <w:spacing w:after="0" w:line="164"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WHEREAS, Section 901(4) of the Original Indenture permits the execution and delivery of a supplemental indenture without the consent of any Holders to establish the form or terms of Securities of any series;</w:t>
      </w:r>
    </w:p>
    <w:p>
      <w:pPr>
        <w:spacing w:after="0" w:line="155"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WHEREAS, the Board of Directors of the Company and the Board of Directors of the Guarantor have authorized the issuance and sale, pursuant to the Put Option Agreement, dated as of March 15, 2018, among the Company, the Guarantor, High Street Funding Trust I (the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xml:space="preserve">”), The Bank of New York Mellon, as put option calculation agent, and the Trustee (the “ </w:t>
      </w:r>
      <w:r>
        <w:rPr>
          <w:rFonts w:ascii="Times New Roman" w:cs="Times New Roman" w:eastAsia="Times New Roman" w:hAnsi="Times New Roman"/>
          <w:sz w:val="16"/>
          <w:szCs w:val="16"/>
          <w:u w:val="single" w:color="auto"/>
          <w:color w:val="auto"/>
        </w:rPr>
        <w:t>Put Option Agreement</w:t>
      </w:r>
      <w:r>
        <w:rPr>
          <w:rFonts w:ascii="Times New Roman" w:cs="Times New Roman" w:eastAsia="Times New Roman" w:hAnsi="Times New Roman"/>
          <w:sz w:val="16"/>
          <w:szCs w:val="16"/>
          <w:color w:val="auto"/>
        </w:rPr>
        <w:t>”), of a new series of the Securities of the Company designated as its 4.111% Senior Notes due 2028 (the “</w:t>
      </w:r>
      <w:r>
        <w:rPr>
          <w:rFonts w:ascii="Times New Roman" w:cs="Times New Roman" w:eastAsia="Times New Roman" w:hAnsi="Times New Roman"/>
          <w:sz w:val="16"/>
          <w:szCs w:val="16"/>
          <w:u w:val="single" w:color="auto"/>
          <w:color w:val="auto"/>
        </w:rPr>
        <w:t>Senior Notes</w:t>
      </w:r>
      <w:r>
        <w:rPr>
          <w:rFonts w:ascii="Times New Roman" w:cs="Times New Roman" w:eastAsia="Times New Roman" w:hAnsi="Times New Roman"/>
          <w:sz w:val="16"/>
          <w:szCs w:val="16"/>
          <w:color w:val="auto"/>
        </w:rPr>
        <w:t>”), to be fully and unconditionally guaranteed by the Guarantor, not to exceed $400,000,000 aggregate principal amount at any one time outstanding;</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WHEREAS, the Company proposes to create under the Indenture such series of Senior Notes;</w:t>
      </w:r>
    </w:p>
    <w:p>
      <w:pPr>
        <w:spacing w:after="0" w:line="188" w:lineRule="exact"/>
        <w:rPr>
          <w:sz w:val="20"/>
          <w:szCs w:val="20"/>
          <w:color w:val="auto"/>
        </w:rPr>
      </w:pPr>
    </w:p>
    <w:p>
      <w:pPr>
        <w:ind w:right="180" w:firstLine="576"/>
        <w:spacing w:after="0" w:line="259" w:lineRule="auto"/>
        <w:rPr>
          <w:sz w:val="20"/>
          <w:szCs w:val="20"/>
          <w:color w:val="auto"/>
        </w:rPr>
      </w:pPr>
      <w:r>
        <w:rPr>
          <w:rFonts w:ascii="Times New Roman" w:cs="Times New Roman" w:eastAsia="Times New Roman" w:hAnsi="Times New Roman"/>
          <w:sz w:val="16"/>
          <w:szCs w:val="16"/>
          <w:color w:val="auto"/>
        </w:rPr>
        <w:t>WHEREAS, the Guarantor will fully and unconditionally guarantee the obligations of the Company under the Senior Notes in accordance with the provisions of the Indenture; and</w:t>
      </w:r>
    </w:p>
    <w:p>
      <w:pPr>
        <w:spacing w:after="0" w:line="155" w:lineRule="exact"/>
        <w:rPr>
          <w:sz w:val="20"/>
          <w:szCs w:val="20"/>
          <w:color w:val="auto"/>
        </w:rPr>
      </w:pPr>
    </w:p>
    <w:p>
      <w:pPr>
        <w:ind w:right="440" w:firstLine="576"/>
        <w:spacing w:after="0" w:line="331" w:lineRule="auto"/>
        <w:rPr>
          <w:sz w:val="20"/>
          <w:szCs w:val="20"/>
          <w:color w:val="auto"/>
        </w:rPr>
      </w:pPr>
      <w:r>
        <w:rPr>
          <w:rFonts w:ascii="Times New Roman" w:cs="Times New Roman" w:eastAsia="Times New Roman" w:hAnsi="Times New Roman"/>
          <w:sz w:val="14"/>
          <w:szCs w:val="14"/>
          <w:color w:val="auto"/>
        </w:rPr>
        <w:t>WHEREAS, all the conditions and requirements necessary to make this Eleventh Supplemental Indenture, when duly executed and delivered, a valid and binding agreement in accordance with its terms and for the purposes herein expressed have been performed and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610235</wp:posOffset>
            </wp:positionV>
            <wp:extent cx="591502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5" w:right="1260" w:bottom="1440" w:gutter="0" w:footer="0" w:header="0"/>
        </w:sectPr>
      </w:pPr>
    </w:p>
    <w:bookmarkStart w:id="153" w:name="page154"/>
    <w:bookmarkEnd w:id="153"/>
    <w:p>
      <w:pPr>
        <w:ind w:firstLine="576"/>
        <w:spacing w:after="0" w:line="259" w:lineRule="auto"/>
        <w:rPr>
          <w:sz w:val="20"/>
          <w:szCs w:val="20"/>
          <w:color w:val="auto"/>
        </w:rPr>
      </w:pPr>
      <w:r>
        <w:rPr>
          <w:rFonts w:ascii="Times New Roman" w:cs="Times New Roman" w:eastAsia="Times New Roman" w:hAnsi="Times New Roman"/>
          <w:sz w:val="16"/>
          <w:szCs w:val="16"/>
          <w:color w:val="auto"/>
        </w:rPr>
        <w:t>NOW THEREFORE, for and in consideration of the premises, it is mutually agreed, for the equal and proportionate benefit of all Holders of the Senior Notes,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SERIES OF SECURITIES</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1.1</w:t>
      </w:r>
      <w:r>
        <w:rPr>
          <w:sz w:val="20"/>
          <w:szCs w:val="20"/>
          <w:color w:val="auto"/>
        </w:rPr>
        <w:tab/>
      </w:r>
      <w:r>
        <w:rPr>
          <w:rFonts w:ascii="Times New Roman" w:cs="Times New Roman" w:eastAsia="Times New Roman" w:hAnsi="Times New Roman"/>
          <w:sz w:val="14"/>
          <w:szCs w:val="14"/>
          <w:u w:val="single" w:color="auto"/>
          <w:color w:val="auto"/>
        </w:rPr>
        <w:t>Establishment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580" w:firstLine="571"/>
        <w:spacing w:after="0" w:line="259" w:lineRule="auto"/>
        <w:tabs>
          <w:tab w:leader="none" w:pos="1732" w:val="left"/>
        </w:tabs>
        <w:numPr>
          <w:ilvl w:val="0"/>
          <w:numId w:val="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There is hereby established a new series of Securities to be issued under the Indenture, to be designated as the Company’s “4.111% Senior Notes due 2028”.</w:t>
      </w:r>
    </w:p>
    <w:p>
      <w:pPr>
        <w:spacing w:after="0" w:line="155" w:lineRule="exact"/>
        <w:rPr>
          <w:rFonts w:ascii="Times New Roman" w:cs="Times New Roman" w:eastAsia="Times New Roman" w:hAnsi="Times New Roman"/>
          <w:sz w:val="16"/>
          <w:szCs w:val="16"/>
          <w:color w:val="010000"/>
        </w:rPr>
      </w:pPr>
    </w:p>
    <w:p>
      <w:pPr>
        <w:ind w:left="580" w:right="120" w:firstLine="571"/>
        <w:spacing w:after="0" w:line="247" w:lineRule="auto"/>
        <w:tabs>
          <w:tab w:leader="none" w:pos="1732" w:val="left"/>
        </w:tabs>
        <w:numPr>
          <w:ilvl w:val="0"/>
          <w:numId w:val="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aggregate principal amount of the Senior Notes that may be authenticated and delivered under the Indenture is not limited; provided that no more than $400,000,000 aggregate principal amount of the Senior Notes shall be outstanding at any time. Senior Notes that have been redeemed pursuant to Section 1.11 shall be cancelled and may not be reissued.</w:t>
      </w:r>
    </w:p>
    <w:p>
      <w:pPr>
        <w:spacing w:after="0" w:line="164" w:lineRule="exact"/>
        <w:rPr>
          <w:rFonts w:ascii="Times New Roman" w:cs="Times New Roman" w:eastAsia="Times New Roman" w:hAnsi="Times New Roman"/>
          <w:sz w:val="16"/>
          <w:szCs w:val="16"/>
          <w:color w:val="010000"/>
        </w:rPr>
      </w:pPr>
    </w:p>
    <w:p>
      <w:pPr>
        <w:ind w:left="580" w:right="20" w:firstLine="571"/>
        <w:spacing w:after="0" w:line="259" w:lineRule="auto"/>
        <w:tabs>
          <w:tab w:leader="none" w:pos="1732" w:val="left"/>
        </w:tabs>
        <w:numPr>
          <w:ilvl w:val="0"/>
          <w:numId w:val="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Notwithstanding the fourth paragraph of Section 201 of the Original Indenture, the Senior Notes will initially be issued in the form of one or more individual Securities exchangeable for Global Securities pursuant to Section 1.7(b).</w:t>
      </w:r>
    </w:p>
    <w:p>
      <w:pPr>
        <w:spacing w:after="0" w:line="155" w:lineRule="exact"/>
        <w:rPr>
          <w:rFonts w:ascii="Times New Roman" w:cs="Times New Roman" w:eastAsia="Times New Roman" w:hAnsi="Times New Roman"/>
          <w:sz w:val="16"/>
          <w:szCs w:val="16"/>
          <w:color w:val="010000"/>
        </w:rPr>
      </w:pPr>
    </w:p>
    <w:p>
      <w:pPr>
        <w:ind w:left="1720" w:hanging="569"/>
        <w:spacing w:after="0"/>
        <w:tabs>
          <w:tab w:leader="none" w:pos="1720" w:val="left"/>
        </w:tabs>
        <w:numPr>
          <w:ilvl w:val="0"/>
          <w:numId w:val="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individual Security will be registered in the name of the Holder thereof or its nominee.</w:t>
      </w:r>
    </w:p>
    <w:p>
      <w:pPr>
        <w:spacing w:after="0" w:line="188"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1.2</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The following defined terms used herein shall, unless the context otherwise requires, have the meanings specified below. Capitalized terms used herein for which no definition is provided herein shall have the meanings set forth in the Original Indenture.</w:t>
      </w:r>
    </w:p>
    <w:p>
      <w:pPr>
        <w:spacing w:after="0" w:line="155"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each Monday, Tuesday, Wednesday, Thursday and Friday that is not a day on which the Corporate Trust Office or federal or state banking institutions in The City of New York, Chicago, Illinois, Des Moines, Iowa or the State of Delaware are authorized or obligated by law or executive order to close or a day the Federal Reserve Bank of New York is closed.</w:t>
      </w:r>
    </w:p>
    <w:p>
      <w:pPr>
        <w:spacing w:after="0" w:line="164" w:lineRule="exact"/>
        <w:rPr>
          <w:sz w:val="20"/>
          <w:szCs w:val="20"/>
          <w:color w:val="auto"/>
        </w:rPr>
      </w:pPr>
    </w:p>
    <w:p>
      <w:pPr>
        <w:ind w:firstLine="615"/>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Comparable Treasury Issue</w:t>
      </w:r>
      <w:r>
        <w:rPr>
          <w:rFonts w:ascii="Times New Roman" w:cs="Times New Roman" w:eastAsia="Times New Roman" w:hAnsi="Times New Roman"/>
          <w:sz w:val="16"/>
          <w:szCs w:val="16"/>
          <w:color w:val="auto"/>
        </w:rPr>
        <w:t>” means, with respect to any Optional Redemption Date, the U.S. Treasury security selected by the Independent Investment Banker as having a maturity comparable to the remaining term of the Senior Notes to be redeemed (assuming, for this purpose, that the Senior Notes matured on the Par Call Date (as defined below)) that would be utilized, at the time of selection and in accordance with customary financial practice, in pricing new issues of corporate debt securities of comparable maturity to the remaining term of the Senior Notes (assuming, for this purpose, that the Senior Notes matured on the Par Call Date).</w:t>
      </w:r>
    </w:p>
    <w:p>
      <w:pPr>
        <w:spacing w:after="0" w:line="169" w:lineRule="exact"/>
        <w:rPr>
          <w:sz w:val="20"/>
          <w:szCs w:val="20"/>
          <w:color w:val="auto"/>
        </w:rPr>
      </w:pPr>
    </w:p>
    <w:p>
      <w:pPr>
        <w:ind w:right="60" w:firstLine="576"/>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Comparable Treasury Price</w:t>
      </w:r>
      <w:r>
        <w:rPr>
          <w:rFonts w:ascii="Times New Roman" w:cs="Times New Roman" w:eastAsia="Times New Roman" w:hAnsi="Times New Roman"/>
          <w:sz w:val="14"/>
          <w:szCs w:val="14"/>
          <w:color w:val="auto"/>
        </w:rPr>
        <w:t>” means, with respect to any Optional Redemption Date for the Senior Notes, (i) the average, as determined by the Company, of the Reference Treasury Dealer Quotations for such Optional Redemption Date, after excluding the highest and lowest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7" w:right="1280" w:bottom="1440" w:gutter="0" w:footer="0" w:header="0"/>
        </w:sectPr>
      </w:pPr>
    </w:p>
    <w:bookmarkStart w:id="154" w:name="page155"/>
    <w:bookmarkEnd w:id="154"/>
    <w:p>
      <w:pPr>
        <w:ind w:right="120"/>
        <w:spacing w:after="0" w:line="259" w:lineRule="auto"/>
        <w:rPr>
          <w:sz w:val="20"/>
          <w:szCs w:val="20"/>
          <w:color w:val="auto"/>
        </w:rPr>
      </w:pPr>
      <w:r>
        <w:rPr>
          <w:rFonts w:ascii="Times New Roman" w:cs="Times New Roman" w:eastAsia="Times New Roman" w:hAnsi="Times New Roman"/>
          <w:sz w:val="16"/>
          <w:szCs w:val="16"/>
          <w:color w:val="auto"/>
        </w:rPr>
        <w:t>such Reference Treasury Dealer Quotations, or (ii) if the Company obtains fewer than five such Reference Treasury Dealer Quotations, the average of all such quotations.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Investment Banker</w:t>
      </w:r>
      <w:r>
        <w:rPr>
          <w:rFonts w:ascii="Times New Roman" w:cs="Times New Roman" w:eastAsia="Times New Roman" w:hAnsi="Times New Roman"/>
          <w:sz w:val="14"/>
          <w:szCs w:val="14"/>
          <w:color w:val="auto"/>
        </w:rPr>
        <w:t>” means an independent investment banking institution of national standing appointed by the Company.</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means February 15 and August 15 of each year, commencing on August 15, 2018.</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 Call Date</w:t>
      </w:r>
      <w:r>
        <w:rPr>
          <w:rFonts w:ascii="Times New Roman" w:cs="Times New Roman" w:eastAsia="Times New Roman" w:hAnsi="Times New Roman"/>
          <w:sz w:val="16"/>
          <w:szCs w:val="16"/>
          <w:color w:val="auto"/>
        </w:rPr>
        <w:t>” means November 15, 2027.</w:t>
      </w:r>
    </w:p>
    <w:p>
      <w:pPr>
        <w:spacing w:after="0" w:line="188"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Reference Treasury Dealer</w:t>
      </w:r>
      <w:r>
        <w:rPr>
          <w:rFonts w:ascii="Times New Roman" w:cs="Times New Roman" w:eastAsia="Times New Roman" w:hAnsi="Times New Roman"/>
          <w:sz w:val="16"/>
          <w:szCs w:val="16"/>
          <w:color w:val="auto"/>
        </w:rPr>
        <w:t xml:space="preserve">” means each of (i) Credit Suisse Securities (USA) LLC, HSBC Securities (USA) Inc., Merrill, Lynch, Pierce, Fenner &amp; Smith Incorporated and Wells Fargo Securities, LLC and their respective successors and (ii) one other Primary Treasury Dealer (as defined below) selected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of the foregoing shall cease to be a U.S. government securities dealer in the United States (a “</w:t>
      </w:r>
      <w:r>
        <w:rPr>
          <w:rFonts w:ascii="Times New Roman" w:cs="Times New Roman" w:eastAsia="Times New Roman" w:hAnsi="Times New Roman"/>
          <w:sz w:val="16"/>
          <w:szCs w:val="16"/>
          <w:u w:val="single" w:color="auto"/>
          <w:color w:val="auto"/>
        </w:rPr>
        <w:t>Primary Treasury Dealer</w:t>
      </w:r>
      <w:r>
        <w:rPr>
          <w:rFonts w:ascii="Times New Roman" w:cs="Times New Roman" w:eastAsia="Times New Roman" w:hAnsi="Times New Roman"/>
          <w:sz w:val="16"/>
          <w:szCs w:val="16"/>
          <w:color w:val="auto"/>
        </w:rPr>
        <w:t>”), the Company will substitute therefor another Primary Treasury Dealer.</w:t>
      </w:r>
    </w:p>
    <w:p>
      <w:pPr>
        <w:spacing w:after="0" w:line="167"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Reference Treasury Dealer Quotations</w:t>
      </w:r>
      <w:r>
        <w:rPr>
          <w:rFonts w:ascii="Times New Roman" w:cs="Times New Roman" w:eastAsia="Times New Roman" w:hAnsi="Times New Roman"/>
          <w:sz w:val="16"/>
          <w:szCs w:val="16"/>
          <w:color w:val="auto"/>
        </w:rPr>
        <w:t>” means, with respect to each Reference Treasury Dealer and any Optional Redemption Date, the average, as determined by the Company, of the bid and ask prices for the Comparable Treasury Issue (expressed, in each case, as a percentage of its principal amount) quoted in writing to the Company by such Reference Treasury Dealer at 5:00 p.m., New York City time, on the third Business Day preceding such Optional Redemption Date.</w:t>
      </w:r>
    </w:p>
    <w:p>
      <w:pPr>
        <w:spacing w:after="0" w:line="167"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Regular Record Date</w:t>
      </w:r>
      <w:r>
        <w:rPr>
          <w:rFonts w:ascii="Times New Roman" w:cs="Times New Roman" w:eastAsia="Times New Roman" w:hAnsi="Times New Roman"/>
          <w:sz w:val="16"/>
          <w:szCs w:val="16"/>
          <w:color w:val="auto"/>
        </w:rPr>
        <w:t xml:space="preserve">” means the February 1 or August 1 of each year (whether or not a Business Day) immediately preceding the related Interest Payment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at any time that the outstanding Senior Notes are held by the Trust or in book-entry form only, interest will be paid to the persons in whose names such Senior Notes are registered at the close of business on the Business Day immediately preceding the date of payment and (b) if any Senior Notes are issued in definitive form to the holders of the trust securities of the Trust (“ </w:t>
      </w:r>
      <w:r>
        <w:rPr>
          <w:rFonts w:ascii="Times New Roman" w:cs="Times New Roman" w:eastAsia="Times New Roman" w:hAnsi="Times New Roman"/>
          <w:sz w:val="16"/>
          <w:szCs w:val="16"/>
          <w:u w:val="single" w:color="auto"/>
          <w:color w:val="auto"/>
        </w:rPr>
        <w:t>Trust Securities</w:t>
      </w:r>
      <w:r>
        <w:rPr>
          <w:rFonts w:ascii="Times New Roman" w:cs="Times New Roman" w:eastAsia="Times New Roman" w:hAnsi="Times New Roman"/>
          <w:sz w:val="16"/>
          <w:szCs w:val="16"/>
          <w:color w:val="auto"/>
        </w:rPr>
        <w:t>”) in exchange therefor after February 1 or August 1 and prior to the next February 15 or August 15, as the case may be, interest shall be payable on such February 15 or August 15 to the persons in whose names the Trust Securities were registered at the close of business on the preceding February 1 or August 1, as the case may be (whether or not a Business Day).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Legend</w:t>
      </w:r>
      <w:r>
        <w:rPr>
          <w:rFonts w:ascii="Times New Roman" w:cs="Times New Roman" w:eastAsia="Times New Roman" w:hAnsi="Times New Roman"/>
          <w:sz w:val="16"/>
          <w:szCs w:val="16"/>
          <w:color w:val="auto"/>
        </w:rPr>
        <w:t xml:space="preserve">” means the legend set forth in </w:t>
      </w:r>
      <w:r>
        <w:rPr>
          <w:rFonts w:ascii="Times New Roman" w:cs="Times New Roman" w:eastAsia="Times New Roman" w:hAnsi="Times New Roman"/>
          <w:sz w:val="16"/>
          <w:szCs w:val="16"/>
          <w:i w:val="1"/>
          <w:iCs w:val="1"/>
          <w:color w:val="auto"/>
        </w:rPr>
        <w:t>Exhibit B</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144A</w:t>
      </w:r>
      <w:r>
        <w:rPr>
          <w:rFonts w:ascii="Times New Roman" w:cs="Times New Roman" w:eastAsia="Times New Roman" w:hAnsi="Times New Roman"/>
          <w:sz w:val="16"/>
          <w:szCs w:val="16"/>
          <w:color w:val="auto"/>
        </w:rPr>
        <w:t>” means Rule 144A under the Securities Act, as such rule may be amended from time to time.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144A Certificate</w:t>
      </w:r>
      <w:r>
        <w:rPr>
          <w:rFonts w:ascii="Times New Roman" w:cs="Times New Roman" w:eastAsia="Times New Roman" w:hAnsi="Times New Roman"/>
          <w:sz w:val="16"/>
          <w:szCs w:val="16"/>
          <w:color w:val="auto"/>
        </w:rPr>
        <w:t xml:space="preserve">” means a certificate substantially in the form of </w:t>
      </w:r>
      <w:r>
        <w:rPr>
          <w:rFonts w:ascii="Times New Roman" w:cs="Times New Roman" w:eastAsia="Times New Roman" w:hAnsi="Times New Roman"/>
          <w:sz w:val="16"/>
          <w:szCs w:val="16"/>
          <w:i w:val="1"/>
          <w:iCs w:val="1"/>
          <w:color w:val="auto"/>
        </w:rPr>
        <w:t>Annex A</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i w:val="1"/>
          <w:iCs w:val="1"/>
          <w:color w:val="auto"/>
        </w:rPr>
        <w:t>Exhibit A</w:t>
      </w:r>
      <w:r>
        <w:rPr>
          <w:rFonts w:ascii="Times New Roman" w:cs="Times New Roman" w:eastAsia="Times New Roman" w:hAnsi="Times New Roman"/>
          <w:sz w:val="16"/>
          <w:szCs w:val="16"/>
          <w:color w:val="auto"/>
        </w:rPr>
        <w:t xml:space="preserve"> hereto.</w:t>
      </w:r>
    </w:p>
    <w:p>
      <w:pPr>
        <w:spacing w:after="0" w:line="188" w:lineRule="exact"/>
        <w:rPr>
          <w:sz w:val="20"/>
          <w:szCs w:val="20"/>
          <w:color w:val="auto"/>
        </w:rPr>
      </w:pPr>
    </w:p>
    <w:p>
      <w:pPr>
        <w:ind w:right="140"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Rate</w:t>
      </w:r>
      <w:r>
        <w:rPr>
          <w:rFonts w:ascii="Times New Roman" w:cs="Times New Roman" w:eastAsia="Times New Roman" w:hAnsi="Times New Roman"/>
          <w:sz w:val="16"/>
          <w:szCs w:val="16"/>
          <w:color w:val="auto"/>
        </w:rPr>
        <w:t xml:space="preserve">” means, with respect to any Optional Redemption Date, the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equal to the semi-annual equivalent yield to maturity of the Comparable Treasury Issue, calculated using a price for such Comparable Treasury Issue (expressed as a percentage of its principal amount) equal to the Comparable Treasury Price for such Optional Redemption Date.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737" w:right="130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color w:val="auto"/>
        </w:rPr>
        <w:t>The Treasury Rate will be calculated on the third Business Day preceding such Optional Redemption Date.</w:t>
      </w:r>
    </w:p>
    <w:p>
      <w:pPr>
        <w:spacing w:after="0" w:line="188"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1.3</w:t>
      </w:r>
      <w:r>
        <w:rPr>
          <w:sz w:val="20"/>
          <w:szCs w:val="20"/>
          <w:color w:val="auto"/>
        </w:rPr>
        <w:tab/>
      </w:r>
      <w:r>
        <w:rPr>
          <w:rFonts w:ascii="Times New Roman" w:cs="Times New Roman" w:eastAsia="Times New Roman" w:hAnsi="Times New Roman"/>
          <w:sz w:val="14"/>
          <w:szCs w:val="14"/>
          <w:u w:val="single" w:color="auto"/>
          <w:color w:val="auto"/>
        </w:rPr>
        <w:t>Payment of Principal, Premium, if any, and Interest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The Senior Notes will mature on February 15, 2028. The Senior Notes shall bear interest, if issued and outstanding, at the rate of 4.111%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calculated by the Company on the basis of a 360-day year consisting of twelve 30-day months, accrued from the date of issuance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pursuant to the Put Option Agreement, or if such date is not a February 15 or August 15, the February 15 or August 15 immediately preceding the date of issuance, or if the Senior Notes are issued prior to August 15, 2018, from March 15, 2018; the Interest Payment Dates for the Senior Notes shall be February 15 and August 15 of each year, commencing on the February 15 or August 15 next following the date of issuance; the interest so payable, and punctually paid or duly provided for, on any Interest Payment Date, will be paid, to the Persons in whose names the Senior Notes (or one or more Predecessor Securities) are registered on the Regular Record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interest payable at the stated maturity date or upon redemption will be paid to the Person to whom principal is payable. Notwithstanding the foregoing, at any time the Senior Notes are held by the Trust, or are solely represented by one or more Global Securities, interest will be paid to the Persons in whose names the Senior Notes are registered at the close of business on the Business Day immediately preceding the Interest Payment Date.</w:t>
      </w:r>
    </w:p>
    <w:p>
      <w:pPr>
        <w:spacing w:after="0" w:line="176"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6"/>
          <w:szCs w:val="16"/>
          <w:color w:val="auto"/>
        </w:rPr>
        <w:t>The Trustee, upon receipt of any notice of exercise or repurchase under Sections 2.1 or 2.2 of the Put Option Agreement, dated as of March 15, 2018, among the Company, the Guarantor, the Trust, The Bank of New York Mellon, as Put Option Calculation Agent, and the Trustee, shall reflect on the Securities Register any increase or decrease in the principal amount of Senior Notes represented by the individual Security issued to the Trust upon receipt of written confirmation from the Company (in the case of any exercise) or the trustee of the Trust (in the case of any repurchase) of the receipt of the purchase price for the Senior Notes to be delivered or repurchased.</w:t>
      </w:r>
    </w:p>
    <w:p>
      <w:pPr>
        <w:spacing w:after="0" w:line="16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1.4</w:t>
      </w:r>
      <w:r>
        <w:rPr>
          <w:sz w:val="20"/>
          <w:szCs w:val="20"/>
          <w:color w:val="auto"/>
        </w:rPr>
        <w:tab/>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60" w:firstLine="576"/>
        <w:spacing w:after="0" w:line="238" w:lineRule="auto"/>
        <w:rPr>
          <w:sz w:val="20"/>
          <w:szCs w:val="20"/>
          <w:color w:val="auto"/>
        </w:rPr>
      </w:pPr>
      <w:r>
        <w:rPr>
          <w:rFonts w:ascii="Times New Roman" w:cs="Times New Roman" w:eastAsia="Times New Roman" w:hAnsi="Times New Roman"/>
          <w:sz w:val="16"/>
          <w:szCs w:val="16"/>
          <w:color w:val="auto"/>
        </w:rPr>
        <w:t xml:space="preserve">Notwithstanding Sections 305 and 1002 of the Original Indenture, the Company shall initially act as Paying Agent, Security Registrar and transfer agent for the Senior Notes. Accordingly, the office of the Company located at 711 High Street, Des Moines, Iowa 50392 shall be and hereby is, designated as the office or agency where the Senior Notes may be presented for payment and where notices to or demands upon the Company in respect of the Senior Notes and the Indenture may be served;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Senior Notes are distributed by the Trust to the holders of its Trust Securities upon the dissolution and termination of the Trust, the payment of the principal of, and premium, if any, and interest on the Senior Notes will be payable, and transfers of the Senior Notes will be registrable, at the Company’s office or agency in the Borough of Manhattan, The City of New York, which initially shall be the Corporate Trust Office of the Trustee and the Trustee shall be the Security Registrar in accordance with Section 305 of the Original Indenture. Transfers of the Senior Notes will also be registrable at any of the Company’s other offices or agencies that it may maintain for that purpose.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7" w:right="1280" w:bottom="1440" w:gutter="0" w:footer="0" w:header="0"/>
        </w:sectPr>
      </w:pPr>
    </w:p>
    <w:bookmarkStart w:id="156" w:name="page157"/>
    <w:bookmarkEnd w:id="156"/>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010000"/>
        </w:rPr>
        <w:t>Section 1.5</w:t>
      </w:r>
      <w:r>
        <w:rPr>
          <w:sz w:val="20"/>
          <w:szCs w:val="20"/>
          <w:color w:val="auto"/>
        </w:rPr>
        <w:tab/>
      </w:r>
      <w:r>
        <w:rPr>
          <w:rFonts w:ascii="Times New Roman" w:cs="Times New Roman" w:eastAsia="Times New Roman" w:hAnsi="Times New Roman"/>
          <w:sz w:val="14"/>
          <w:szCs w:val="14"/>
          <w:u w:val="single" w:color="auto"/>
          <w:color w:val="auto"/>
        </w:rPr>
        <w:t>Denominations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Senior Notes may be issued in denominations of $2,000 or any multiple of $1,000 in excess thereof.</w:t>
      </w:r>
    </w:p>
    <w:p>
      <w:pPr>
        <w:spacing w:after="0" w:line="188" w:lineRule="exact"/>
        <w:rPr>
          <w:sz w:val="20"/>
          <w:szCs w:val="20"/>
          <w:color w:val="auto"/>
        </w:rPr>
      </w:pPr>
    </w:p>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010000"/>
        </w:rPr>
        <w:t>Section 1.6</w:t>
      </w:r>
      <w:r>
        <w:rPr>
          <w:sz w:val="20"/>
          <w:szCs w:val="20"/>
          <w:color w:val="auto"/>
        </w:rPr>
        <w:tab/>
      </w:r>
      <w:r>
        <w:rPr>
          <w:rFonts w:ascii="Times New Roman" w:cs="Times New Roman" w:eastAsia="Times New Roman" w:hAnsi="Times New Roman"/>
          <w:sz w:val="14"/>
          <w:szCs w:val="14"/>
          <w:u w:val="single" w:color="auto"/>
          <w:color w:val="auto"/>
        </w:rPr>
        <w:t>No Sinking Fund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Senior Notes are not entitled to the benefit of any sinking fund.</w:t>
      </w:r>
    </w:p>
    <w:p>
      <w:pPr>
        <w:spacing w:after="0" w:line="188" w:lineRule="exact"/>
        <w:rPr>
          <w:sz w:val="20"/>
          <w:szCs w:val="20"/>
          <w:color w:val="auto"/>
        </w:rPr>
      </w:pPr>
    </w:p>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010000"/>
        </w:rPr>
        <w:t>Section 1.7</w:t>
      </w:r>
      <w:r>
        <w:rPr>
          <w:sz w:val="20"/>
          <w:szCs w:val="20"/>
          <w:color w:val="auto"/>
        </w:rPr>
        <w:tab/>
      </w:r>
      <w:r>
        <w:rPr>
          <w:rFonts w:ascii="Times New Roman" w:cs="Times New Roman" w:eastAsia="Times New Roman" w:hAnsi="Times New Roman"/>
          <w:sz w:val="14"/>
          <w:szCs w:val="14"/>
          <w:u w:val="single" w:color="auto"/>
          <w:color w:val="auto"/>
        </w:rPr>
        <w:t>Restricted Legend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420" w:right="220" w:firstLine="571"/>
        <w:spacing w:after="0" w:line="259" w:lineRule="auto"/>
        <w:tabs>
          <w:tab w:leader="none" w:pos="1572" w:val="left"/>
        </w:tabs>
        <w:numPr>
          <w:ilvl w:val="0"/>
          <w:numId w:val="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Except as otherwise provided in paragraph (c) of this Section 1.7, Section 1.8(a), Section 1.9(c) or Section 1.9(d), each Senior Note will bear the Restricted Legend.</w:t>
      </w:r>
    </w:p>
    <w:p>
      <w:pPr>
        <w:spacing w:after="0" w:line="155" w:lineRule="exact"/>
        <w:rPr>
          <w:rFonts w:ascii="Times New Roman" w:cs="Times New Roman" w:eastAsia="Times New Roman" w:hAnsi="Times New Roman"/>
          <w:sz w:val="16"/>
          <w:szCs w:val="16"/>
          <w:color w:val="010000"/>
        </w:rPr>
      </w:pPr>
    </w:p>
    <w:p>
      <w:pPr>
        <w:ind w:left="420" w:firstLine="571"/>
        <w:spacing w:after="0" w:line="238" w:lineRule="auto"/>
        <w:tabs>
          <w:tab w:leader="none" w:pos="1572" w:val="left"/>
        </w:tabs>
        <w:numPr>
          <w:ilvl w:val="0"/>
          <w:numId w:val="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The Senior Notes shall initially be issued in the form of one or more individual Securities registered in the name of the Trust pursuant to the Put Option Agreement. If the Trust distributes the Senior Notes to the holders of its Trust Securities upon its dissolution and termination, then prior to such distribution, the Senior Notes shall, and the Company shall take commercially reasonable efforts to cause the Senior Notes to, be exchanged for one or more Global Securities and the Depositary shall be The Depository Trust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Senior Notes are not eligible to be settled through The Depository Trust Company at the time of such distribution, such Senior Notes will be distributed in the form of one or more individual Securities. Any such Global Securities shall be Global Securities for purposes of the Original Indenture and shall be subject to the provisions thereof governing Global Securities (including Sections 202 and 305 of the Original Indenture), except as modified hereby.</w:t>
      </w:r>
    </w:p>
    <w:p>
      <w:pPr>
        <w:spacing w:after="0" w:line="172" w:lineRule="exact"/>
        <w:rPr>
          <w:rFonts w:ascii="Times New Roman" w:cs="Times New Roman" w:eastAsia="Times New Roman" w:hAnsi="Times New Roman"/>
          <w:sz w:val="16"/>
          <w:szCs w:val="16"/>
          <w:color w:val="010000"/>
        </w:rPr>
      </w:pPr>
    </w:p>
    <w:p>
      <w:pPr>
        <w:ind w:left="420" w:right="80" w:firstLine="571"/>
        <w:spacing w:after="0" w:line="239" w:lineRule="auto"/>
        <w:tabs>
          <w:tab w:leader="none" w:pos="1572" w:val="left"/>
        </w:tabs>
        <w:numPr>
          <w:ilvl w:val="0"/>
          <w:numId w:val="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the Company determines (upon the advice of counsel and such other certifications and evidence as the Company may reasonably require) that a Senior Note is eligible for resale pursuant to Rule 144 under the Securities Act (or a successor provision) without compliance with any limits thereunder and that the Restricted Legend is no longer necessary or appropriate in order to ensure that subsequent transfers of the Senior Note (or a beneficial interest therein) are effected in compliance with the Securities Act, the Company may instruct the Trustee in an Officers’ Certificate to cancel the Senior Note and issue to the Holder thereof (or to its transferee) a new Senior Note of like tenor and amount of the same series, registered in the name of the Holder thereof (or its transferee), that does not bear the Restricted Legend, and the Trustee will comply with such instruction.</w:t>
      </w:r>
    </w:p>
    <w:p>
      <w:pPr>
        <w:spacing w:after="0" w:line="169" w:lineRule="exact"/>
        <w:rPr>
          <w:rFonts w:ascii="Times New Roman" w:cs="Times New Roman" w:eastAsia="Times New Roman" w:hAnsi="Times New Roman"/>
          <w:sz w:val="16"/>
          <w:szCs w:val="16"/>
          <w:color w:val="010000"/>
        </w:rPr>
      </w:pPr>
    </w:p>
    <w:p>
      <w:pPr>
        <w:ind w:left="420" w:right="140" w:firstLine="571"/>
        <w:spacing w:after="0" w:line="289" w:lineRule="auto"/>
        <w:tabs>
          <w:tab w:leader="none" w:pos="1572" w:val="left"/>
        </w:tabs>
        <w:numPr>
          <w:ilvl w:val="0"/>
          <w:numId w:val="8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By its acceptance of any Senior Note bearing the Restricted Legend (or any beneficial interest in such a Senior Note), each Holder thereof and each owner of a beneficial interest therein acknowledges the restrictions on transfer of such Senior Note (and any such beneficial interest) set forth in this Eleventh Supplemental Indenture and in the Restricted Legend and agrees that it will transfer such Senior Note (and any such beneficial interest) only in accordance with this Eleventh Supplemental Indenture and such legend.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200"/>
          </w:cols>
          <w:pgMar w:left="1440" w:top="737" w:right="1260" w:bottom="1440" w:gutter="0" w:footer="0" w:header="0"/>
        </w:sectPr>
      </w:pPr>
    </w:p>
    <w:bookmarkStart w:id="157" w:name="page158"/>
    <w:bookmarkEnd w:id="157"/>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010000"/>
        </w:rPr>
        <w:t>Section 1.8</w:t>
      </w:r>
      <w:r>
        <w:rPr>
          <w:sz w:val="20"/>
          <w:szCs w:val="20"/>
          <w:color w:val="auto"/>
        </w:rPr>
        <w:tab/>
      </w:r>
      <w:r>
        <w:rPr>
          <w:rFonts w:ascii="Times New Roman" w:cs="Times New Roman" w:eastAsia="Times New Roman" w:hAnsi="Times New Roman"/>
          <w:sz w:val="14"/>
          <w:szCs w:val="14"/>
          <w:u w:val="single" w:color="auto"/>
          <w:color w:val="auto"/>
        </w:rPr>
        <w:t>Global Securities.</w:t>
      </w:r>
    </w:p>
    <w:p>
      <w:pPr>
        <w:spacing w:after="0" w:line="188" w:lineRule="exact"/>
        <w:rPr>
          <w:sz w:val="20"/>
          <w:szCs w:val="20"/>
          <w:color w:val="auto"/>
        </w:rPr>
      </w:pPr>
    </w:p>
    <w:p>
      <w:pPr>
        <w:ind w:left="420" w:firstLine="571"/>
        <w:spacing w:after="0" w:line="241" w:lineRule="auto"/>
        <w:tabs>
          <w:tab w:leader="none" w:pos="1572"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Senior Note represented by Global Securities will be registered in the name of the Depositary or its nominee. Except under the limited circumstances described below, Senior Notes represented by Global Securities will not be exchangeable for, and will not otherwise be issuable as, Senior Notes in definitive form. The Global Securities described above may not be transferred except as a whole by the Depositary to a nominee of the Depositary, or by a nominee of the Depositary to the Depositary or another nominee of the Depositary, or by the Depositary or any such nominee to a successor Depositary or its nominee.</w:t>
      </w:r>
    </w:p>
    <w:p>
      <w:pPr>
        <w:spacing w:after="0" w:line="168" w:lineRule="exact"/>
        <w:rPr>
          <w:rFonts w:ascii="Times New Roman" w:cs="Times New Roman" w:eastAsia="Times New Roman" w:hAnsi="Times New Roman"/>
          <w:sz w:val="16"/>
          <w:szCs w:val="16"/>
          <w:color w:val="010000"/>
        </w:rPr>
      </w:pPr>
    </w:p>
    <w:p>
      <w:pPr>
        <w:ind w:left="420" w:right="20" w:firstLine="571"/>
        <w:spacing w:after="0" w:line="243" w:lineRule="auto"/>
        <w:tabs>
          <w:tab w:leader="none" w:pos="1572"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Owners of beneficial interests in such Global Securities will not be considered the Holders thereof for any purpose under the Indenture, and no Global Security representing a Senior Note shall be exchangeable, except for another Global Security of like denomination and tenor to be registered in the name of the Depositary or its nominee or to a successor Depositary or its nominee. The rights of Holders of such Global Securities shall be exercised only through the Depositary.</w:t>
      </w:r>
    </w:p>
    <w:p>
      <w:pPr>
        <w:spacing w:after="0" w:line="167" w:lineRule="exact"/>
        <w:rPr>
          <w:rFonts w:ascii="Times New Roman" w:cs="Times New Roman" w:eastAsia="Times New Roman" w:hAnsi="Times New Roman"/>
          <w:sz w:val="16"/>
          <w:szCs w:val="16"/>
          <w:color w:val="010000"/>
        </w:rPr>
      </w:pPr>
    </w:p>
    <w:p>
      <w:pPr>
        <w:ind w:left="420" w:right="40" w:firstLine="571"/>
        <w:spacing w:after="0" w:line="247" w:lineRule="auto"/>
        <w:tabs>
          <w:tab w:leader="none" w:pos="1572" w:val="left"/>
        </w:tabs>
        <w:numPr>
          <w:ilvl w:val="0"/>
          <w:numId w:val="8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 Global Security shall be exchangeable for Senior Notes registered in the names of Persons other than the Depositary or its nominee only as provided by Section 305 of the Original Indenture. Any Global Security that is exchangeable pursuant to the preceding sentence shall be exchangeable for Senior Notes registered in such names as the Depositary shall direct.</w:t>
      </w:r>
    </w:p>
    <w:p>
      <w:pPr>
        <w:spacing w:after="0" w:line="164" w:lineRule="exact"/>
        <w:rPr>
          <w:sz w:val="20"/>
          <w:szCs w:val="20"/>
          <w:color w:val="auto"/>
        </w:rPr>
      </w:pPr>
    </w:p>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010000"/>
        </w:rPr>
        <w:t>Section 1.9</w:t>
      </w:r>
      <w:r>
        <w:rPr>
          <w:sz w:val="20"/>
          <w:szCs w:val="20"/>
          <w:color w:val="auto"/>
        </w:rPr>
        <w:tab/>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420" w:right="40" w:firstLine="571"/>
        <w:spacing w:after="0" w:line="259" w:lineRule="auto"/>
        <w:tabs>
          <w:tab w:leader="none" w:pos="1572" w:val="left"/>
        </w:tabs>
        <w:numPr>
          <w:ilvl w:val="0"/>
          <w:numId w:val="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 service charge will be made for any registration of transfer or exchange of Senior Notes, but payment will be required of a sum sufficient to cover any tax or other governmental charge that may be imposed in connection therewith.</w:t>
      </w:r>
    </w:p>
    <w:p>
      <w:pPr>
        <w:spacing w:after="0" w:line="155" w:lineRule="exact"/>
        <w:rPr>
          <w:rFonts w:ascii="Times New Roman" w:cs="Times New Roman" w:eastAsia="Times New Roman" w:hAnsi="Times New Roman"/>
          <w:sz w:val="16"/>
          <w:szCs w:val="16"/>
          <w:color w:val="010000"/>
        </w:rPr>
      </w:pPr>
    </w:p>
    <w:p>
      <w:pPr>
        <w:ind w:left="420" w:right="80" w:firstLine="571"/>
        <w:spacing w:after="0" w:line="243" w:lineRule="auto"/>
        <w:tabs>
          <w:tab w:leader="none" w:pos="1572" w:val="left"/>
        </w:tabs>
        <w:numPr>
          <w:ilvl w:val="0"/>
          <w:numId w:val="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transfer or exchange of any Senior Note (or a beneficial interest therein) may only be made in accordance with this Section 1.9 and, in the case of a Global Security (or a beneficial interest therein), Section 1.8 and the applicable rules and procedures of the Depositary. The Security Registrar shall refuse to register any requested transfer or exchange that does not comply with the preceding sentence.</w:t>
      </w:r>
    </w:p>
    <w:p>
      <w:pPr>
        <w:spacing w:after="0" w:line="167" w:lineRule="exact"/>
        <w:rPr>
          <w:rFonts w:ascii="Times New Roman" w:cs="Times New Roman" w:eastAsia="Times New Roman" w:hAnsi="Times New Roman"/>
          <w:sz w:val="16"/>
          <w:szCs w:val="16"/>
          <w:color w:val="010000"/>
        </w:rPr>
      </w:pPr>
    </w:p>
    <w:p>
      <w:pPr>
        <w:ind w:left="420" w:firstLine="571"/>
        <w:spacing w:after="0" w:line="278" w:lineRule="auto"/>
        <w:tabs>
          <w:tab w:leader="none" w:pos="1572" w:val="left"/>
        </w:tabs>
        <w:numPr>
          <w:ilvl w:val="0"/>
          <w:numId w:val="8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Company or the Trustee, as Security Registrar, shall not be required to effect any transfer (other than to the Company or The Depository Trust Company or its nominee) of any individual Security on the Security Registrar unless (i) it receives a certificate substantially in the form of the Rule 144A Certificate duly executed by the holder or his attorney duly authorized in writing or (ii) any other exemption from the registration requirements under the Securities Act is available and, in either case, the Company or the Trustee receives such documentation, including opinions of counsel, requested by the Company or the Trustee in order to confirm compliance with the transfer restrictions set forth 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requested transfer or exchange is made by the Holder of an individual Security that does not bear the Restricted Legend, then no certification is required. In the event that a Global Security or an individual Security that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180"/>
          </w:cols>
          <w:pgMar w:left="1440" w:top="737" w:right="1280" w:bottom="1440" w:gutter="0" w:footer="0" w:header="0"/>
        </w:sectPr>
      </w:pPr>
    </w:p>
    <w:bookmarkStart w:id="158" w:name="page159"/>
    <w:bookmarkEnd w:id="158"/>
    <w:p>
      <w:pPr>
        <w:ind w:left="580" w:right="660"/>
        <w:spacing w:after="0" w:line="259" w:lineRule="auto"/>
        <w:rPr>
          <w:sz w:val="20"/>
          <w:szCs w:val="20"/>
          <w:color w:val="auto"/>
        </w:rPr>
      </w:pPr>
      <w:r>
        <w:rPr>
          <w:rFonts w:ascii="Times New Roman" w:cs="Times New Roman" w:eastAsia="Times New Roman" w:hAnsi="Times New Roman"/>
          <w:sz w:val="16"/>
          <w:szCs w:val="16"/>
          <w:color w:val="auto"/>
        </w:rPr>
        <w:t>does not bear the Restricted Legend is surrendered for transfer or exchange, upon transfer or exchange the Trustee shall deliver an individual Security that does not bear the Restricted Legend.</w:t>
      </w:r>
    </w:p>
    <w:p>
      <w:pPr>
        <w:spacing w:after="0" w:line="155" w:lineRule="exact"/>
        <w:rPr>
          <w:sz w:val="20"/>
          <w:szCs w:val="20"/>
          <w:color w:val="auto"/>
        </w:rPr>
      </w:pPr>
    </w:p>
    <w:p>
      <w:pPr>
        <w:ind w:left="580" w:right="240" w:firstLine="571"/>
        <w:spacing w:after="0" w:line="239" w:lineRule="auto"/>
        <w:tabs>
          <w:tab w:leader="none" w:pos="1732" w:val="left"/>
        </w:tabs>
        <w:numPr>
          <w:ilvl w:val="0"/>
          <w:numId w:val="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 certification is required in connection with any transfer or exchange of any Senior Note (or a beneficial interest therein) after such Senior Note is eligible for resale pursuant to Rule 144 under the Securities Act (or a successor provision) (the “Rule”) without being subject to any conditions as provided in such Rule;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has provided the Trustee with an Officers’ Certificate to that effect, and the Company may require from any Person requesting a transfer or exchange in reliance upon this clause an opinion of counsel and any other reasonable certifications and evidence in order to support such certificate. Any individual Security delivered in reliance upon this paragraph will not bear the Restricted Legend.</w:t>
      </w:r>
    </w:p>
    <w:p>
      <w:pPr>
        <w:spacing w:after="0" w:line="173" w:lineRule="exact"/>
        <w:rPr>
          <w:rFonts w:ascii="Times New Roman" w:cs="Times New Roman" w:eastAsia="Times New Roman" w:hAnsi="Times New Roman"/>
          <w:sz w:val="16"/>
          <w:szCs w:val="16"/>
          <w:color w:val="010000"/>
        </w:rPr>
      </w:pPr>
    </w:p>
    <w:p>
      <w:pPr>
        <w:ind w:left="580" w:right="60" w:firstLine="571"/>
        <w:spacing w:after="0" w:line="247" w:lineRule="auto"/>
        <w:tabs>
          <w:tab w:leader="none" w:pos="1732" w:val="left"/>
        </w:tabs>
        <w:numPr>
          <w:ilvl w:val="0"/>
          <w:numId w:val="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Trustee will retain copies of all certificates, opinions and other documents received in connection with the transfer or exchange of a Senior Note (or a beneficial interest therein), and the Company will have the right to inspect and make copies thereof at any reasonable time upon written notice to the Trustee.</w:t>
      </w:r>
    </w:p>
    <w:p>
      <w:pPr>
        <w:spacing w:after="0" w:line="164" w:lineRule="exact"/>
        <w:rPr>
          <w:rFonts w:ascii="Times New Roman" w:cs="Times New Roman" w:eastAsia="Times New Roman" w:hAnsi="Times New Roman"/>
          <w:sz w:val="16"/>
          <w:szCs w:val="16"/>
          <w:color w:val="010000"/>
        </w:rPr>
      </w:pPr>
    </w:p>
    <w:p>
      <w:pPr>
        <w:ind w:left="580" w:firstLine="571"/>
        <w:spacing w:after="0" w:line="239" w:lineRule="auto"/>
        <w:tabs>
          <w:tab w:leader="none" w:pos="1732" w:val="left"/>
        </w:tabs>
        <w:numPr>
          <w:ilvl w:val="0"/>
          <w:numId w:val="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Trustee shall have no obligation or duty to monitor, determine or inquire as to compliance with any restrictions on transfer imposed under this Eleventh Supplemental Indenture or under applicable law with respect to any transfer of any interest in any Senior Note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Eleventh Supplemental Indenture, and to examine the same to determine substantial compliance as to form with the express requirements hereof.</w:t>
      </w:r>
    </w:p>
    <w:p>
      <w:pPr>
        <w:spacing w:after="0" w:line="173" w:lineRule="exact"/>
        <w:rPr>
          <w:rFonts w:ascii="Times New Roman" w:cs="Times New Roman" w:eastAsia="Times New Roman" w:hAnsi="Times New Roman"/>
          <w:sz w:val="16"/>
          <w:szCs w:val="16"/>
          <w:color w:val="010000"/>
        </w:rPr>
      </w:pPr>
    </w:p>
    <w:p>
      <w:pPr>
        <w:ind w:left="1720" w:hanging="569"/>
        <w:spacing w:after="0"/>
        <w:tabs>
          <w:tab w:leader="none" w:pos="1720" w:val="left"/>
        </w:tabs>
        <w:numPr>
          <w:ilvl w:val="0"/>
          <w:numId w:val="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 the event that the Company or any of its Affiliates (in either case, a “Depositor Affiliated Owner/Holder”) requests</w:t>
      </w:r>
    </w:p>
    <w:p>
      <w:pPr>
        <w:spacing w:after="0" w:line="14" w:lineRule="exact"/>
        <w:rPr>
          <w:sz w:val="20"/>
          <w:szCs w:val="20"/>
          <w:color w:val="auto"/>
        </w:rPr>
      </w:pPr>
    </w:p>
    <w:p>
      <w:pPr>
        <w:ind w:left="580" w:right="140"/>
        <w:spacing w:after="0" w:line="275" w:lineRule="auto"/>
        <w:rPr>
          <w:sz w:val="20"/>
          <w:szCs w:val="20"/>
          <w:color w:val="auto"/>
        </w:rPr>
      </w:pPr>
      <w:r>
        <w:rPr>
          <w:rFonts w:ascii="Times New Roman" w:cs="Times New Roman" w:eastAsia="Times New Roman" w:hAnsi="Times New Roman"/>
          <w:sz w:val="14"/>
          <w:szCs w:val="14"/>
          <w:color w:val="auto"/>
        </w:rPr>
        <w:t>that the Trustee exchange Trust Securities for Senior Notes pursuant to Section 5.4(e) of the Amended and Restated Declaration of the Trust, dated as of March 15, 2018, among the Company, as depositor, The Bank of New York Mellon, as trustee, BNY Mellon Trust of Delaware, as Delaware Trustee, and the Company (solely for the purposes of Section 10.4(c) and Section 10.4(d) thereof) (the “Trust Declaration”), the Trustee shall register the transfer of such Senior Notes to the Depositor Affiliated Owner/Holder or, if requested, cancel such Senior Notes in accordance with Section 309 of the Indenture. The Company shall provide the Trustee with a copy of any request by any Depositor Affiliated Owner/Holder under Section 5.4(e) of the Trust Declaration promptly after such a request is made.</w:t>
      </w:r>
    </w:p>
    <w:p>
      <w:pPr>
        <w:spacing w:after="0" w:line="148"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1.10</w:t>
      </w:r>
      <w:r>
        <w:rPr>
          <w:sz w:val="20"/>
          <w:szCs w:val="20"/>
          <w:color w:val="auto"/>
        </w:rPr>
        <w:tab/>
      </w:r>
      <w:r>
        <w:rPr>
          <w:rFonts w:ascii="Times New Roman" w:cs="Times New Roman" w:eastAsia="Times New Roman" w:hAnsi="Times New Roman"/>
          <w:sz w:val="14"/>
          <w:szCs w:val="14"/>
          <w:u w:val="single" w:color="auto"/>
          <w:color w:val="auto"/>
        </w:rPr>
        <w:t>Defeasance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The provisions of Sections 1202 and 1203 of the Original Indenture will apply to the Senior Notes only after the Senior Notes are distributed to the holders of the Trust Securities upon the dissolution and termination of the Trust.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7" w:right="1260" w:bottom="1440" w:gutter="0" w:footer="0" w:header="0"/>
        </w:sectPr>
      </w:pPr>
    </w:p>
    <w:bookmarkStart w:id="159" w:name="page160"/>
    <w:bookmarkEnd w:id="159"/>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1.11</w:t>
      </w:r>
      <w:r>
        <w:rPr>
          <w:sz w:val="20"/>
          <w:szCs w:val="20"/>
          <w:color w:val="auto"/>
        </w:rPr>
        <w:tab/>
      </w:r>
      <w:r>
        <w:rPr>
          <w:rFonts w:ascii="Times New Roman" w:cs="Times New Roman" w:eastAsia="Times New Roman" w:hAnsi="Times New Roman"/>
          <w:sz w:val="14"/>
          <w:szCs w:val="14"/>
          <w:u w:val="single" w:color="auto"/>
          <w:color w:val="auto"/>
        </w:rPr>
        <w:t>Optional Redemption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580" w:right="40" w:firstLine="571"/>
        <w:spacing w:after="0" w:line="241" w:lineRule="auto"/>
        <w:tabs>
          <w:tab w:leader="none" w:pos="1732" w:val="left"/>
        </w:tabs>
        <w:numPr>
          <w:ilvl w:val="0"/>
          <w:numId w:val="8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At any time the aggregate principal amount of Senior Notes held by the Trust, together with the aggregate Designated Amount of Senior Notes subject to all Put Notices that have been delivered for which the Settlement Date (as such terms are defined in the Put Option Agreement) has not yet occurred is equal to $400,000,000, the Senior Notes will be redeemable, at the option of the Company (the date of any such redemption, an “</w:t>
      </w:r>
      <w:r>
        <w:rPr>
          <w:rFonts w:ascii="Times New Roman" w:cs="Times New Roman" w:eastAsia="Times New Roman" w:hAnsi="Times New Roman"/>
          <w:sz w:val="16"/>
          <w:szCs w:val="16"/>
          <w:u w:val="single" w:color="auto"/>
          <w:color w:val="auto"/>
        </w:rPr>
        <w:t>Optional Redemption Date</w:t>
      </w:r>
      <w:r>
        <w:rPr>
          <w:rFonts w:ascii="Times New Roman" w:cs="Times New Roman" w:eastAsia="Times New Roman" w:hAnsi="Times New Roman"/>
          <w:sz w:val="16"/>
          <w:szCs w:val="16"/>
          <w:color w:val="auto"/>
        </w:rPr>
        <w:t xml:space="preserve">”), in whole but not in part, at a redemption price (the </w:t>
      </w:r>
      <w:r>
        <w:rPr>
          <w:rFonts w:ascii="Times New Roman" w:cs="Times New Roman" w:eastAsia="Times New Roman" w:hAnsi="Times New Roman"/>
          <w:sz w:val="16"/>
          <w:szCs w:val="16"/>
          <w:u w:val="single" w:color="auto"/>
          <w:color w:val="auto"/>
        </w:rPr>
        <w:t>“Redemption Price</w:t>
      </w:r>
      <w:r>
        <w:rPr>
          <w:rFonts w:ascii="Times New Roman" w:cs="Times New Roman" w:eastAsia="Times New Roman" w:hAnsi="Times New Roman"/>
          <w:sz w:val="16"/>
          <w:szCs w:val="16"/>
          <w:color w:val="auto"/>
        </w:rPr>
        <w:t>”) equal to:</w:t>
      </w:r>
    </w:p>
    <w:p>
      <w:pPr>
        <w:spacing w:after="0" w:line="168" w:lineRule="exact"/>
        <w:rPr>
          <w:rFonts w:ascii="Times New Roman" w:cs="Times New Roman" w:eastAsia="Times New Roman" w:hAnsi="Times New Roman"/>
          <w:sz w:val="16"/>
          <w:szCs w:val="16"/>
          <w:color w:val="010000"/>
        </w:rPr>
      </w:pPr>
    </w:p>
    <w:p>
      <w:pPr>
        <w:ind w:left="1160" w:right="20" w:firstLine="567"/>
        <w:spacing w:after="0" w:line="239" w:lineRule="auto"/>
        <w:tabs>
          <w:tab w:leader="none" w:pos="2300" w:val="left"/>
        </w:tabs>
        <w:numPr>
          <w:ilvl w:val="1"/>
          <w:numId w:val="8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the Senior Notes are redeemed prior to the Par Call Date, the greater of (A) 100% of the principal amount of the Senior Notes to be redeemed or (B) an amount equal to the sum of the present values of the remaining scheduled payments of principal and interest on the Senior Notes that would be due if the Senior Notes matured on the Par Call Date, not including any portion of the payments of interest accrued as of such Optional Redemption Date, discounted to such Optional Redemption Date on a semi-annual basis (assuming a 360-day year consisting of twelve 30-day months) at the Treasury Rate plus 20 basis points, as calculated by an Independent Investment Banker; or</w:t>
      </w:r>
    </w:p>
    <w:p>
      <w:pPr>
        <w:spacing w:after="0" w:line="173" w:lineRule="exact"/>
        <w:rPr>
          <w:rFonts w:ascii="Times New Roman" w:cs="Times New Roman" w:eastAsia="Times New Roman" w:hAnsi="Times New Roman"/>
          <w:sz w:val="16"/>
          <w:szCs w:val="16"/>
          <w:color w:val="010000"/>
        </w:rPr>
      </w:pPr>
    </w:p>
    <w:p>
      <w:pPr>
        <w:ind w:left="2300" w:hanging="573"/>
        <w:spacing w:after="0"/>
        <w:tabs>
          <w:tab w:leader="none" w:pos="2300" w:val="left"/>
        </w:tabs>
        <w:numPr>
          <w:ilvl w:val="1"/>
          <w:numId w:val="8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the Senior Notes are redeemed on or after the Par Call Date, 100% of the principal amount of the Senior Notes</w:t>
      </w:r>
    </w:p>
    <w:p>
      <w:pPr>
        <w:spacing w:after="0" w:line="37" w:lineRule="exact"/>
        <w:rPr>
          <w:rFonts w:ascii="Times New Roman" w:cs="Times New Roman" w:eastAsia="Times New Roman" w:hAnsi="Times New Roman"/>
          <w:sz w:val="14"/>
          <w:szCs w:val="14"/>
          <w:color w:val="010000"/>
        </w:rPr>
      </w:pPr>
    </w:p>
    <w:p>
      <w:pPr>
        <w:ind w:left="116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6"/>
          <w:szCs w:val="16"/>
          <w:color w:val="auto"/>
        </w:rPr>
        <w:t>to be redeemed;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plus, in each case, accrued and unpaid interest on the Senior Notes to be redeemed to, but excluding, such Optional Redemption Date.</w:t>
      </w:r>
    </w:p>
    <w:p>
      <w:pPr>
        <w:spacing w:after="0" w:line="188" w:lineRule="exact"/>
        <w:rPr>
          <w:sz w:val="20"/>
          <w:szCs w:val="20"/>
          <w:color w:val="auto"/>
        </w:rPr>
      </w:pPr>
    </w:p>
    <w:p>
      <w:pPr>
        <w:ind w:left="580" w:right="80" w:firstLine="571"/>
        <w:spacing w:after="0" w:line="275" w:lineRule="auto"/>
        <w:tabs>
          <w:tab w:leader="none" w:pos="1732" w:val="left"/>
        </w:tabs>
        <w:numPr>
          <w:ilvl w:val="0"/>
          <w:numId w:val="8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the Company has given notice as provided in the Original Indenture and made funds available for the redemption of any Senior Notes called for redemption on the Optional Redemption Date referred to in that notice, those Senior Notes will cease to bear interest on that Optional Redemption Date. Any interest accrued to the Optional Redemption Date will be paid as specified in such notice. The Company will give written notice of any redemption of any Senior Notes to Holders of the Senior Notes to be redeemed at their addresses, as shown in the Security Register for the Senior Notes, at least 30 days and not more than 60 days prior to the Optional Redemption Date. The notice of redemption will specify, among other items, the Optional Redemption Date, the Redemption Price and the aggregate principal amount of the Senior Notes to be redeemed. A notice of redemption may be given whether or not the Trust holds $400,000,000 aggregate principal amount of Senior Notes if the Company has provided notice of the exercise in full of the Unexercised Portion (as defined in the Put Option Agreement), and a notice of redemption delivered to the trustee of the Trust shall be sufficient for all purposes whether or not the Trust holds any Senior Notes at the time such notice is delivered.</w:t>
      </w:r>
    </w:p>
    <w:p>
      <w:pPr>
        <w:spacing w:after="0" w:line="332"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1.12</w:t>
      </w:r>
      <w:r>
        <w:rPr>
          <w:sz w:val="20"/>
          <w:szCs w:val="20"/>
          <w:color w:val="auto"/>
        </w:rPr>
        <w:tab/>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addition to the Events of Default set forth in Section 501 of the Original Indenture, each of the following will also constitute an “Event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Default” for the Senior 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737" w:right="1300" w:bottom="1440" w:gutter="0" w:footer="0" w:header="0"/>
        </w:sectPr>
      </w:pPr>
    </w:p>
    <w:bookmarkStart w:id="160" w:name="page161"/>
    <w:bookmarkEnd w:id="160"/>
    <w:p>
      <w:pPr>
        <w:ind w:left="2300" w:hanging="573"/>
        <w:spacing w:after="0"/>
        <w:tabs>
          <w:tab w:leader="none" w:pos="2300" w:val="left"/>
        </w:tabs>
        <w:numPr>
          <w:ilvl w:val="0"/>
          <w:numId w:val="8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default for 30 days in the payment of any interest on the Senior Notes under the Guarantee (as defined herein) by</w:t>
      </w:r>
    </w:p>
    <w:p>
      <w:pPr>
        <w:spacing w:after="0" w:line="37" w:lineRule="exact"/>
        <w:rPr>
          <w:rFonts w:ascii="Times New Roman" w:cs="Times New Roman" w:eastAsia="Times New Roman" w:hAnsi="Times New Roman"/>
          <w:sz w:val="14"/>
          <w:szCs w:val="14"/>
          <w:color w:val="010000"/>
        </w:rPr>
      </w:pPr>
    </w:p>
    <w:p>
      <w:pPr>
        <w:ind w:left="116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6"/>
          <w:szCs w:val="16"/>
          <w:color w:val="auto"/>
        </w:rPr>
        <w:t>the Guarantor;</w:t>
      </w:r>
    </w:p>
    <w:p>
      <w:pPr>
        <w:spacing w:after="0" w:line="170" w:lineRule="exact"/>
        <w:rPr>
          <w:rFonts w:ascii="Times New Roman" w:cs="Times New Roman" w:eastAsia="Times New Roman" w:hAnsi="Times New Roman"/>
          <w:sz w:val="14"/>
          <w:szCs w:val="14"/>
          <w:color w:val="010000"/>
        </w:rPr>
      </w:pPr>
    </w:p>
    <w:p>
      <w:pPr>
        <w:ind w:left="2300" w:hanging="573"/>
        <w:spacing w:after="0"/>
        <w:tabs>
          <w:tab w:leader="none" w:pos="2300" w:val="left"/>
        </w:tabs>
        <w:numPr>
          <w:ilvl w:val="0"/>
          <w:numId w:val="8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default in the payment of principal of the Senior Notes, or premium, if any, when due under the Guarantee by the</w:t>
      </w:r>
    </w:p>
    <w:p>
      <w:pPr>
        <w:spacing w:after="0" w:line="37" w:lineRule="exact"/>
        <w:rPr>
          <w:rFonts w:ascii="Times New Roman" w:cs="Times New Roman" w:eastAsia="Times New Roman" w:hAnsi="Times New Roman"/>
          <w:sz w:val="14"/>
          <w:szCs w:val="14"/>
          <w:color w:val="010000"/>
        </w:rPr>
      </w:pPr>
    </w:p>
    <w:p>
      <w:pPr>
        <w:ind w:left="116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6"/>
          <w:szCs w:val="16"/>
          <w:color w:val="auto"/>
        </w:rPr>
        <w:t>Guarantor;</w:t>
      </w:r>
    </w:p>
    <w:p>
      <w:pPr>
        <w:spacing w:after="0" w:line="170" w:lineRule="exact"/>
        <w:rPr>
          <w:rFonts w:ascii="Times New Roman" w:cs="Times New Roman" w:eastAsia="Times New Roman" w:hAnsi="Times New Roman"/>
          <w:sz w:val="14"/>
          <w:szCs w:val="14"/>
          <w:color w:val="010000"/>
        </w:rPr>
      </w:pPr>
    </w:p>
    <w:p>
      <w:pPr>
        <w:ind w:left="1160" w:right="180" w:firstLine="567"/>
        <w:spacing w:after="0" w:line="239" w:lineRule="auto"/>
        <w:tabs>
          <w:tab w:leader="none" w:pos="2300"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default in the performance, or breach, of any covenant or warranty of the Guarantor in the Indenture or the Guarantee (other than a covenant or warranty a default in the performance of which or the breach of which is specifically dealt with elsewhere in this Section), and continuance of such default or breach for a period of 90 days after there has been given, by registered or certified mail, to the Guarantor by the Trustee or to the Guarantor and the Trustee by the Holders of at least 25% in aggregate principal amount of the Outstanding Senior Notes a written notice specifying such default or breach and requiring it to be remedied and stating that such notice is a “Notice of Default” hereunder;</w:t>
      </w:r>
    </w:p>
    <w:p>
      <w:pPr>
        <w:spacing w:after="0" w:line="173" w:lineRule="exact"/>
        <w:rPr>
          <w:rFonts w:ascii="Times New Roman" w:cs="Times New Roman" w:eastAsia="Times New Roman" w:hAnsi="Times New Roman"/>
          <w:sz w:val="16"/>
          <w:szCs w:val="16"/>
          <w:color w:val="010000"/>
        </w:rPr>
      </w:pPr>
    </w:p>
    <w:p>
      <w:pPr>
        <w:ind w:left="1160" w:right="20" w:firstLine="567"/>
        <w:spacing w:after="0" w:line="239" w:lineRule="auto"/>
        <w:tabs>
          <w:tab w:leader="none" w:pos="2300"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entry of a decree or order by a court having jurisdiction in the premises adjudging the Guarantor bankrupt or insolvent, or approving as properly filed a petition seeking reorganization, arrangement, adjustment or composition of or in respect of the Guarantor under any applicable U.S. Federal or State bankruptcy, insolvency, reorganization or other similar law, or appointing a receiver, liquidator, assignee, trustee, sequestrator (or other similar official) of the Guarantor or of any substantial part of its property or ordering the winding up or liquidation of its affairs, and the continuance of any such decree or order unstayed and in effect for a period of 90 consecutive days; or</w:t>
      </w:r>
    </w:p>
    <w:p>
      <w:pPr>
        <w:spacing w:after="0" w:line="173" w:lineRule="exact"/>
        <w:rPr>
          <w:rFonts w:ascii="Times New Roman" w:cs="Times New Roman" w:eastAsia="Times New Roman" w:hAnsi="Times New Roman"/>
          <w:sz w:val="16"/>
          <w:szCs w:val="16"/>
          <w:color w:val="010000"/>
        </w:rPr>
      </w:pPr>
    </w:p>
    <w:p>
      <w:pPr>
        <w:ind w:left="1160" w:right="360" w:firstLine="567"/>
        <w:spacing w:after="0" w:line="259" w:lineRule="auto"/>
        <w:tabs>
          <w:tab w:leader="none" w:pos="2300" w:val="left"/>
        </w:tabs>
        <w:numPr>
          <w:ilvl w:val="0"/>
          <w:numId w:val="8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Guarantee ceases to be in full force and effect (other than in accordance with its terms) or the Guarantor denies or disaffirms its obligations under the Guarantee.</w:t>
      </w:r>
    </w:p>
    <w:p>
      <w:pPr>
        <w:spacing w:after="0" w:line="155" w:lineRule="exact"/>
        <w:rPr>
          <w:sz w:val="20"/>
          <w:szCs w:val="20"/>
          <w:color w:val="auto"/>
        </w:rPr>
      </w:pPr>
    </w:p>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The Trustee shall give prompt written notice to the trustee of the Trust (if other than the Trustee) of any Event of Default with respect to the Senior Notes of which it has actual knowledge or has received written notice.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010000"/>
        </w:rPr>
        <w:t>ARTICLE II</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GUARANTEE</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2.1</w:t>
      </w:r>
      <w:r>
        <w:rPr>
          <w:sz w:val="20"/>
          <w:szCs w:val="20"/>
          <w:color w:val="auto"/>
        </w:rPr>
        <w:tab/>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140" w:firstLine="576"/>
        <w:spacing w:after="0" w:line="259" w:lineRule="auto"/>
        <w:rPr>
          <w:sz w:val="20"/>
          <w:szCs w:val="20"/>
          <w:color w:val="auto"/>
        </w:rPr>
      </w:pPr>
      <w:r>
        <w:rPr>
          <w:rFonts w:ascii="Times New Roman" w:cs="Times New Roman" w:eastAsia="Times New Roman" w:hAnsi="Times New Roman"/>
          <w:sz w:val="16"/>
          <w:szCs w:val="16"/>
          <w:color w:val="auto"/>
        </w:rPr>
        <w:t xml:space="preserve">The Guarantor shall fully, unconditionally and irrevocably guarantee the Senior Notes pursuant to a guarantee in substantially the form set forth in </w:t>
      </w:r>
      <w:r>
        <w:rPr>
          <w:rFonts w:ascii="Times New Roman" w:cs="Times New Roman" w:eastAsia="Times New Roman" w:hAnsi="Times New Roman"/>
          <w:sz w:val="16"/>
          <w:szCs w:val="16"/>
          <w:i w:val="1"/>
          <w:iCs w:val="1"/>
          <w:color w:val="auto"/>
        </w:rPr>
        <w:t>Exhibit B</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7" w:right="126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6"/>
          <w:szCs w:val="16"/>
          <w:b w:val="1"/>
          <w:bCs w:val="1"/>
          <w:color w:val="010000"/>
        </w:rPr>
        <w:t>ARTICLE III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3.1</w:t>
      </w:r>
      <w:r>
        <w:rPr>
          <w:sz w:val="20"/>
          <w:szCs w:val="20"/>
          <w:color w:val="auto"/>
        </w:rPr>
        <w:tab/>
      </w:r>
      <w:r>
        <w:rPr>
          <w:rFonts w:ascii="Times New Roman" w:cs="Times New Roman" w:eastAsia="Times New Roman" w:hAnsi="Times New Roman"/>
          <w:sz w:val="14"/>
          <w:szCs w:val="14"/>
          <w:u w:val="single" w:color="auto"/>
          <w:color w:val="auto"/>
        </w:rPr>
        <w:t>Recitals by the Company</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The recitals in this Eleventh Supplemental Indenture are made by the Company and the Guarantor only and not by the Trustee, and all of the provisions contained in the Original Indenture in respect of the rights, privileges, immunities, powers and duties of the Trustee shall be applicable in respect of the Senior Notes and of this Eleventh Supplemental Indenture as fully and with like effect as if set forth herein in full.</w:t>
      </w:r>
    </w:p>
    <w:p>
      <w:pPr>
        <w:spacing w:after="0" w:line="16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3.2</w:t>
      </w:r>
      <w:r>
        <w:rPr>
          <w:sz w:val="20"/>
          <w:szCs w:val="20"/>
          <w:color w:val="auto"/>
        </w:rPr>
        <w:tab/>
      </w:r>
      <w:r>
        <w:rPr>
          <w:rFonts w:ascii="Times New Roman" w:cs="Times New Roman" w:eastAsia="Times New Roman" w:hAnsi="Times New Roman"/>
          <w:sz w:val="14"/>
          <w:szCs w:val="14"/>
          <w:u w:val="single" w:color="auto"/>
          <w:color w:val="auto"/>
        </w:rPr>
        <w:t>Application of Supplemental Indenture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120" w:firstLine="576"/>
        <w:spacing w:after="0" w:line="247" w:lineRule="auto"/>
        <w:rPr>
          <w:sz w:val="20"/>
          <w:szCs w:val="20"/>
          <w:color w:val="auto"/>
        </w:rPr>
      </w:pPr>
      <w:r>
        <w:rPr>
          <w:rFonts w:ascii="Times New Roman" w:cs="Times New Roman" w:eastAsia="Times New Roman" w:hAnsi="Times New Roman"/>
          <w:sz w:val="16"/>
          <w:szCs w:val="16"/>
          <w:color w:val="auto"/>
        </w:rPr>
        <w:t>Each and every term and condition contained in this Eleventh Supplemental Indenture that modifies, amends or supplements the terms and conditions of the Original Indenture shall apply to the Senior Notes created hereby and not to any other series of Securities established under the Original Indenture.</w:t>
      </w:r>
    </w:p>
    <w:p>
      <w:pPr>
        <w:spacing w:after="0" w:line="164"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The Original Indenture, as previously amended and supplemented, and supplemented by the Eleventh Supplemental Indenture, shall remain in full force and effect and is hereby ratified and confirmed.</w:t>
      </w:r>
    </w:p>
    <w:p>
      <w:pPr>
        <w:spacing w:after="0" w:line="155"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3.3</w:t>
      </w:r>
      <w:r>
        <w:rPr>
          <w:sz w:val="20"/>
          <w:szCs w:val="20"/>
          <w:color w:val="auto"/>
        </w:rPr>
        <w:tab/>
      </w:r>
      <w:r>
        <w:rPr>
          <w:rFonts w:ascii="Times New Roman" w:cs="Times New Roman" w:eastAsia="Times New Roman" w:hAnsi="Times New Roman"/>
          <w:sz w:val="14"/>
          <w:szCs w:val="14"/>
          <w:u w:val="single" w:color="auto"/>
          <w:color w:val="auto"/>
        </w:rPr>
        <w:t>Executed in Counterparts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320" w:firstLine="576"/>
        <w:spacing w:after="0" w:line="259" w:lineRule="auto"/>
        <w:rPr>
          <w:sz w:val="20"/>
          <w:szCs w:val="20"/>
          <w:color w:val="auto"/>
        </w:rPr>
      </w:pPr>
      <w:r>
        <w:rPr>
          <w:rFonts w:ascii="Times New Roman" w:cs="Times New Roman" w:eastAsia="Times New Roman" w:hAnsi="Times New Roman"/>
          <w:sz w:val="16"/>
          <w:szCs w:val="16"/>
          <w:color w:val="auto"/>
        </w:rPr>
        <w:t>This Eleventh Supplemental Indenture may be simultaneously executed in several counterparts, each of which shall be deemed to be an original, and such counterparts shall together constitute one and the same instrument.</w:t>
      </w:r>
    </w:p>
    <w:p>
      <w:pPr>
        <w:spacing w:after="0" w:line="155"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010000"/>
        </w:rPr>
        <w:t>Section 3.4</w:t>
      </w:r>
      <w:r>
        <w:rPr>
          <w:sz w:val="20"/>
          <w:szCs w:val="20"/>
          <w:color w:val="auto"/>
        </w:rPr>
        <w:tab/>
      </w:r>
      <w:r>
        <w:rPr>
          <w:rFonts w:ascii="Times New Roman" w:cs="Times New Roman" w:eastAsia="Times New Roman" w:hAnsi="Times New Roman"/>
          <w:sz w:val="14"/>
          <w:szCs w:val="14"/>
          <w:u w:val="single" w:color="auto"/>
          <w:color w:val="auto"/>
        </w:rPr>
        <w:t>Governing Law; Waiver of Jury Trial</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THIS ELEVENTH SUPPLEMENTAL INDENTURE AND THE SENIOR NOTES SHALL BE GOVERNED BY AND CONSTRUED IN ACCORDANCE WITH THE LAWS OF THE STATE OF NEW YORK.</w:t>
      </w:r>
    </w:p>
    <w:p>
      <w:pPr>
        <w:spacing w:after="0" w:line="155" w:lineRule="exact"/>
        <w:rPr>
          <w:sz w:val="20"/>
          <w:szCs w:val="20"/>
          <w:color w:val="auto"/>
        </w:rPr>
      </w:pPr>
    </w:p>
    <w:p>
      <w:pPr>
        <w:jc w:val="both"/>
        <w:ind w:right="160" w:firstLine="576"/>
        <w:spacing w:after="0" w:line="299" w:lineRule="auto"/>
        <w:rPr>
          <w:sz w:val="20"/>
          <w:szCs w:val="20"/>
          <w:color w:val="auto"/>
        </w:rPr>
      </w:pPr>
      <w:r>
        <w:rPr>
          <w:rFonts w:ascii="Times New Roman" w:cs="Times New Roman" w:eastAsia="Times New Roman" w:hAnsi="Times New Roman"/>
          <w:sz w:val="14"/>
          <w:szCs w:val="14"/>
          <w:color w:val="auto"/>
        </w:rPr>
        <w:t>EACH OF THE COMPANY AND THE TRUSTEE HEREBY IRREVOCABLY WAIVES, TO THE FULLEST EXTENT PERMITTED BY APPLICABLE LAW, ANY AND ALL RIGHT TO TRIAL BY JURY IN ANY LEGAL PROCEEDING ARISING OUT OF OR RELATING TO THIS ELEVENTH SUPPLEMENTAL INDENTURE, THE SENIOR NOTES OR THE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5" w:right="1280" w:bottom="1440" w:gutter="0" w:footer="0" w:header="0"/>
        </w:sectPr>
      </w:pPr>
    </w:p>
    <w:bookmarkStart w:id="162" w:name="page163"/>
    <w:bookmarkEnd w:id="162"/>
    <w:p>
      <w:pPr>
        <w:ind w:right="60" w:firstLine="576"/>
        <w:spacing w:after="0" w:line="259" w:lineRule="auto"/>
        <w:rPr>
          <w:sz w:val="20"/>
          <w:szCs w:val="20"/>
          <w:color w:val="auto"/>
        </w:rPr>
      </w:pPr>
      <w:r>
        <w:rPr>
          <w:rFonts w:ascii="Times New Roman" w:cs="Times New Roman" w:eastAsia="Times New Roman" w:hAnsi="Times New Roman"/>
          <w:sz w:val="16"/>
          <w:szCs w:val="16"/>
          <w:color w:val="auto"/>
        </w:rPr>
        <w:t>IN WITNESS WHEREOF, each party hereto has caused this Eleventh Supplemental Indenture to be duly executed as of the day and year first above written.</w:t>
      </w:r>
    </w:p>
    <w:p>
      <w:pPr>
        <w:spacing w:after="0" w:line="3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PRINCIPAL FINANCIAL GROUP, INC.</w:t>
      </w:r>
    </w:p>
    <w:p>
      <w:pPr>
        <w:spacing w:after="0" w:line="3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Title:</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Title:</w:t>
      </w:r>
    </w:p>
    <w:p>
      <w:pPr>
        <w:spacing w:after="0" w:line="33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PRINCIPAL FINANCIAL SERVICES, INC., as Guarantor</w:t>
      </w:r>
    </w:p>
    <w:p>
      <w:pPr>
        <w:spacing w:after="0" w:line="3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Title:</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Title:</w:t>
      </w:r>
    </w:p>
    <w:p>
      <w:pPr>
        <w:spacing w:after="0" w:line="33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THE BANK OF NEW YORK MELLON TRUST COMPANY, N.A., as</w:t>
      </w:r>
    </w:p>
    <w:p>
      <w:pPr>
        <w:spacing w:after="0" w:line="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Trustee</w:t>
      </w:r>
    </w:p>
    <w:p>
      <w:pPr>
        <w:spacing w:after="0" w:line="3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Title:</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Eleventh Supplemental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654685</wp:posOffset>
            </wp:positionV>
            <wp:extent cx="591502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220"/>
          </w:cols>
          <w:pgMar w:left="1280" w:top="737" w:right="1400" w:bottom="1440" w:gutter="0" w:footer="0" w:header="0"/>
        </w:sectPr>
      </w:pPr>
    </w:p>
    <w:bookmarkStart w:id="163" w:name="page164"/>
    <w:bookmarkEnd w:id="163"/>
    <w:p>
      <w:pPr>
        <w:ind w:left="8560"/>
        <w:spacing w:after="0"/>
        <w:rPr>
          <w:sz w:val="20"/>
          <w:szCs w:val="20"/>
          <w:color w:val="auto"/>
        </w:rPr>
      </w:pPr>
      <w:r>
        <w:rPr>
          <w:rFonts w:ascii="Times New Roman" w:cs="Times New Roman" w:eastAsia="Times New Roman" w:hAnsi="Times New Roman"/>
          <w:sz w:val="16"/>
          <w:szCs w:val="16"/>
          <w:color w:val="auto"/>
        </w:rPr>
        <w:t>EXHIBIT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4.111% SENIOR NOTES DUE 2028]</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OF FACE OF SECURITY)</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PRINCIPAL FINANCIAL GROUP,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4.111% Senior Notes due 2028</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CUSIP: 42981C AA6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PRINCIPAL FINANCIAL GROUP, INC., a corporation organized and existing under the laws of Delaware (hereinafter called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which term includes any successor Person under the Indenture hereinafter referred to), for value received, hereby promises to pay to</w:t>
      </w:r>
    </w:p>
    <w:p>
      <w:pPr>
        <w:ind w:right="40"/>
        <w:spacing w:after="0" w:line="235" w:lineRule="auto"/>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color w:val="auto"/>
        </w:rPr>
        <w:t>, or registered assigns, the principal sum of</w:t>
      </w: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16"/>
          <w:szCs w:val="16"/>
          <w:color w:val="auto"/>
        </w:rPr>
        <w:t>Dollars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this Senior Note is a Global Security or is registered in the name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Bank of New York Mellon, as trustee of High Street Corners Trust I,</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such other principal amount reflected on the books and records of the Trustee and the Depository, in accordance with the terms of the Indenture, which amount shall not exceed $400,000,000 at any time) on February 15, 2028 (the “</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xml:space="preserve">”) (except to the extent redeemed or repaid prior to the Maturity Date), and to pay interest thereon from the date of issuance or if the date of issuance is not a February 15 or August 15, the February 15 or August 15 immediately preceding the date of issuance, or if this Senior Note is issued prior to August 15, 2018, from March 15, 2018, semi-annually in arrears, at the rate of 4.111%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on February 15 and August 15 of each year (each such date, an “</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commencing on the February 15 or August 15 next following the date of issuance, on the basis of a 360-day year consisting of twelve 30-day months, until the principal hereof is paid or duly provided for or made available for payment.</w:t>
      </w:r>
    </w:p>
    <w:p>
      <w:pPr>
        <w:spacing w:after="0" w:line="173" w:lineRule="exact"/>
        <w:rPr>
          <w:sz w:val="20"/>
          <w:szCs w:val="20"/>
          <w:color w:val="auto"/>
        </w:rPr>
      </w:pPr>
    </w:p>
    <w:p>
      <w:pPr>
        <w:ind w:right="20" w:firstLine="576"/>
        <w:spacing w:after="0" w:line="274" w:lineRule="auto"/>
        <w:rPr>
          <w:sz w:val="20"/>
          <w:szCs w:val="20"/>
          <w:color w:val="auto"/>
        </w:rPr>
      </w:pPr>
      <w:r>
        <w:rPr>
          <w:rFonts w:ascii="Times New Roman" w:cs="Times New Roman" w:eastAsia="Times New Roman" w:hAnsi="Times New Roman"/>
          <w:sz w:val="14"/>
          <w:szCs w:val="14"/>
          <w:color w:val="auto"/>
        </w:rPr>
        <w:t xml:space="preserve">The interest so payable, and punctually paid or duly provided for, on any Interest Payment Date will, as provided in the Indenture, be paid to the Person in whose name this Senior Note (or one or more Predecessor Securities) is registered at the close of business on the Regular Record Date for such interest, which shall be the February 1 or August 1 (whether or not a Business Day, as defined in the Indenture), as the case may be, next preceding such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interest payable on the Maturity Date or upon redemption will be paid to the person to whom principal is payable. Any such interest not so punctually paid or duly provided for will forthwith cease to be payable to the Holder on such Regular Record Date and may either be paid to the person in whose name this Senior Note (or one or more Predecessor Securities) is registered at the close of business on a Special Record Date for the payment of such Defaulted Interest to be fixed by the Trustee, notice whereof shall be given to Holders of Senior Notes not less than 10 days prior to such Special Record Date, or be paid at any time in any other lawful manner not inconsistent with the requirements of any securities exchange on which the Senior Notes may be listed, and upon such notice as may be required by such exchange, all as more fully provided in said Indenture. Notwithstanding the foregoing, at any time that this Senior Note is held by High Street Funding Trust I, as Delaware statutory trust (the “</w:t>
      </w:r>
      <w:r>
        <w:rPr>
          <w:rFonts w:ascii="Times New Roman" w:cs="Times New Roman" w:eastAsia="Times New Roman" w:hAnsi="Times New Roman"/>
          <w:sz w:val="14"/>
          <w:szCs w:val="14"/>
          <w:u w:val="single" w:color="auto"/>
          <w:color w:val="auto"/>
        </w:rPr>
        <w:t>Trust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or if this Senior Note is a Global Security,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interest will be paid to the Person in whose name this Senior Note (or one or more Predecessor Securities) is registered at the close of business on the Business Day immediately preceding the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7" w:right="1260" w:bottom="1440" w:gutter="0" w:footer="0" w:header="0"/>
        </w:sectPr>
      </w:pPr>
    </w:p>
    <w:bookmarkStart w:id="164" w:name="page165"/>
    <w:bookmarkEnd w:id="164"/>
    <w:p>
      <w:pPr>
        <w:ind w:firstLine="576"/>
        <w:spacing w:after="0" w:line="275" w:lineRule="auto"/>
        <w:rPr>
          <w:sz w:val="20"/>
          <w:szCs w:val="20"/>
          <w:color w:val="auto"/>
        </w:rPr>
      </w:pPr>
      <w:r>
        <w:rPr>
          <w:rFonts w:ascii="Times New Roman" w:cs="Times New Roman" w:eastAsia="Times New Roman" w:hAnsi="Times New Roman"/>
          <w:sz w:val="14"/>
          <w:szCs w:val="14"/>
          <w:color w:val="auto"/>
        </w:rPr>
        <w:t xml:space="preserve">Payment of the principal of (and premium, if any) and any interest on this Senior Note will be made at the office or agency of the Company maintained for that purpose in The City of New York;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this Senior Note (or one or more Predecessor Securities) has been distributed by the Trust to the holders of its trust securities upon the dissolution and termination of the Trust, the interest, principal and any other money due on this Senior Note will be payable at the Corporate Trust Office of the Trustee, as Paying Agent, and this Senior Note may be surrendered for registration of transfer or exchange at the office of the Trustee in the Borough of Manhattan, The City of New York or such other office or agency as may be designated for the surrender of Senior Notes for registration of transfer or exchange;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payments on this Senior Note may at the Company’s option be paid in immediately available funds by wire transfer to an account maintained by the payee located in the United States of America or, if this Senior Note (or one or more Predecessor Securities) has been distributed by the Trust to the holders of its trust securities upon the dissolution and termination of the Trust and is not represented by a Global Security, by mailing a check to the address of the Person entitled thereto as such address shall appear in the Security Registrar. Payment of principal, premium, if any, and interest on this Senior Note will be paid in such coin or currency of the United States of America as at the time of payment is legal tender for payment of public and private debts.</w:t>
      </w:r>
    </w:p>
    <w:p>
      <w:pPr>
        <w:spacing w:after="0" w:line="328"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6"/>
          <w:szCs w:val="16"/>
          <w:color w:val="auto"/>
        </w:rPr>
        <w:t>Reference is hereby made to the further provisions of this Senior Note set forth on the reverse hereof, which further provisions shall for all purposes have the same effect as if set forth at this place.</w:t>
      </w:r>
    </w:p>
    <w:p>
      <w:pPr>
        <w:spacing w:after="0" w:line="155"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Unless the certificate of authentication hereon has been executed by the Trustee referred to on the reverse hereof by manual signature, this Senior Note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737" w:right="1320" w:bottom="1440" w:gutter="0" w:footer="0" w:header="0"/>
        </w:sectPr>
      </w:pPr>
    </w:p>
    <w:bookmarkStart w:id="165" w:name="page166"/>
    <w:bookmarkEnd w:id="165"/>
    <w:p>
      <w:pPr>
        <w:ind w:left="420"/>
        <w:spacing w:after="0"/>
        <w:rPr>
          <w:sz w:val="20"/>
          <w:szCs w:val="20"/>
          <w:color w:val="auto"/>
        </w:rPr>
      </w:pPr>
      <w:r>
        <w:rPr>
          <w:rFonts w:ascii="Times New Roman" w:cs="Times New Roman" w:eastAsia="Times New Roman" w:hAnsi="Times New Roman"/>
          <w:sz w:val="16"/>
          <w:szCs w:val="16"/>
          <w:color w:val="auto"/>
        </w:rPr>
        <w:t>IN WITNESS WHEREOF, the Company has caused this instrument to be duly executed.</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PRINCIPAL FINANCIAL GROUP, INC.</w:t>
      </w:r>
    </w:p>
    <w:p>
      <w:pPr>
        <w:spacing w:after="0" w:line="1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5715</wp:posOffset>
            </wp:positionV>
            <wp:extent cx="275907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020"/>
          </w:cols>
          <w:pgMar w:left="1440" w:top="737" w:right="1440" w:bottom="1440" w:gutter="0" w:footer="0" w:header="0"/>
        </w:sectPr>
      </w:pPr>
    </w:p>
    <w:bookmarkStart w:id="166" w:name="page167"/>
    <w:bookmarkEnd w:id="166"/>
    <w:p>
      <w:pPr>
        <w:ind w:left="3260"/>
        <w:spacing w:after="0"/>
        <w:rPr>
          <w:sz w:val="20"/>
          <w:szCs w:val="20"/>
          <w:color w:val="auto"/>
        </w:rPr>
      </w:pPr>
      <w:r>
        <w:rPr>
          <w:rFonts w:ascii="Times New Roman" w:cs="Times New Roman" w:eastAsia="Times New Roman" w:hAnsi="Times New Roman"/>
          <w:sz w:val="16"/>
          <w:szCs w:val="16"/>
          <w:b w:val="1"/>
          <w:bCs w:val="1"/>
          <w:color w:val="auto"/>
        </w:rPr>
        <w:t>CERTIFICATE OF AUTHENTICATION</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is one of the Securities referred to in the within-mentioned Indenture.</w:t>
      </w:r>
    </w:p>
    <w:p>
      <w:pPr>
        <w:spacing w:after="0" w:line="18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THE BANK OF NEW YORK MELLON TRUST COMPANY, N.A., as</w:t>
      </w:r>
    </w:p>
    <w:p>
      <w:pPr>
        <w:spacing w:after="0" w:line="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Trustee</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5715</wp:posOffset>
            </wp:positionV>
            <wp:extent cx="275907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220"/>
          </w:cols>
          <w:pgMar w:left="1280" w:top="735" w:right="1400"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6"/>
          <w:szCs w:val="16"/>
          <w:color w:val="auto"/>
        </w:rPr>
        <w:t>(FORM OF REVERSE OF SECURITY)</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This Senior Note is one of a duly authorized issue of securities of the Company (herein called the “</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issued and to be issued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one or more series under a Senior Indenture, dated as of May 21, 2009, as supplemented and amended from time to time (herein called the</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xml:space="preserve">”), between the Company, Principal Financial Services, Inc., as guarantor (herein called the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as such term is further defined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and The Bank of New York Mellon Trust Company, N.A., as Trustee (herein called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which term includes any successor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 under the Indenture including by the Eleventh Supplemental Indenture thereto, dated as of March 15, 2018, among the Company, the</w:t>
      </w:r>
    </w:p>
    <w:p>
      <w:pPr>
        <w:spacing w:after="0"/>
        <w:rPr>
          <w:sz w:val="20"/>
          <w:szCs w:val="20"/>
          <w:color w:val="auto"/>
        </w:rPr>
      </w:pPr>
      <w:r>
        <w:rPr>
          <w:rFonts w:ascii="Times New Roman" w:cs="Times New Roman" w:eastAsia="Times New Roman" w:hAnsi="Times New Roman"/>
          <w:sz w:val="14"/>
          <w:szCs w:val="14"/>
          <w:color w:val="auto"/>
        </w:rPr>
        <w:t>Guarantor and the Trustee (the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to which Indenture and all indentures supplemental thereto reference is hereby made for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of the respective rights, limitations of rights, duties and immunities thereunder of the Company, the Guarantor, the Trustee and the Holders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Senior Notes and of the terms upon which the Senior Notes are, and are to be, authenticated and delivered. This Senior Note is one of the</w:t>
      </w:r>
    </w:p>
    <w:p>
      <w:pPr>
        <w:spacing w:after="0"/>
        <w:rPr>
          <w:sz w:val="20"/>
          <w:szCs w:val="20"/>
          <w:color w:val="auto"/>
        </w:rPr>
      </w:pPr>
      <w:r>
        <w:rPr>
          <w:rFonts w:ascii="Times New Roman" w:cs="Times New Roman" w:eastAsia="Times New Roman" w:hAnsi="Times New Roman"/>
          <w:sz w:val="16"/>
          <w:szCs w:val="16"/>
          <w:color w:val="auto"/>
        </w:rPr>
        <w:t>series designated on the face hereof, which are limited in aggregate principal amount at any time outstanding to $400,000,000.</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terms used in this Senior Note that are defined in the Indenture shall have the meaning assigned to them in the Indenture.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Senior Notes will be redeemable, at the option of the Company, as set forth in Section 1.11 of the Supplemental Indenture.</w:t>
      </w:r>
    </w:p>
    <w:p>
      <w:pPr>
        <w:spacing w:after="0" w:line="188"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6"/>
          <w:szCs w:val="16"/>
          <w:color w:val="auto"/>
        </w:rPr>
        <w:t>The Indenture contains provisions for satisfaction, discharge and defeasance of the entire indebtedness on this Senior Note, upon compliance by the Company with certain conditions set forth therein that apply to this Senior Note only after the Senior Notes are distributed to the holders of the trust securities upon the dissolution and termination of the Trust.</w:t>
      </w:r>
    </w:p>
    <w:p>
      <w:pPr>
        <w:spacing w:after="0" w:line="164"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If an Event of Default with respect to Senior Notes shall occur and be continuing, the principal of the Senior Notes may be declared due and payable in the manner and with the effect provided in the Indenture.</w:t>
      </w:r>
    </w:p>
    <w:p>
      <w:pPr>
        <w:spacing w:after="0" w:line="155" w:lineRule="exact"/>
        <w:rPr>
          <w:sz w:val="20"/>
          <w:szCs w:val="20"/>
          <w:color w:val="auto"/>
        </w:rPr>
      </w:pPr>
    </w:p>
    <w:p>
      <w:pPr>
        <w:jc w:val="both"/>
        <w:ind w:right="80" w:firstLine="576"/>
        <w:spacing w:after="0" w:line="243" w:lineRule="auto"/>
        <w:rPr>
          <w:sz w:val="20"/>
          <w:szCs w:val="20"/>
          <w:color w:val="auto"/>
        </w:rPr>
      </w:pPr>
      <w:r>
        <w:rPr>
          <w:rFonts w:ascii="Times New Roman" w:cs="Times New Roman" w:eastAsia="Times New Roman" w:hAnsi="Times New Roman"/>
          <w:sz w:val="16"/>
          <w:szCs w:val="16"/>
          <w:color w:val="auto"/>
        </w:rPr>
        <w:t xml:space="preserve">Upon payment of the amount of principal so declared due and payable, of any overdue interest and of interest on any overdue principal and overdue interest at the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applicable to the Senior Notes set forth on the face hereof (in each case to the extent that the payment of such interest shall be legally enforceable), all of the Company’s obligations in respect of the payment of the principal of and interest, if any, on the Senior Notes shall terminate.</w:t>
      </w:r>
    </w:p>
    <w:p>
      <w:pPr>
        <w:spacing w:after="0" w:line="167"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The Indenture permits, with certain exceptions as therein provided, the amendment thereof and the modification of the rights and obligations of the Company and the rights of the Holders of the Senior Notes of each series to be affected under the Indenture at any time by the Company and the Trustee with the consent of the Holders of a majority in principal amount of the Senior Notes at the time Outstanding of each series to be affected. The Indenture also contains provisions permitting the Holders of specified percentages in principal amount of the Senior Notes of each series at the time Outstanding, on behalf of the Holders of all Senior Notes of such series, to waive compliance by the Company with certain provisions of the Indenture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7" w:right="1280" w:bottom="1440" w:gutter="0" w:footer="0" w:header="0"/>
        </w:sectPr>
      </w:pPr>
    </w:p>
    <w:bookmarkStart w:id="168" w:name="page169"/>
    <w:bookmarkEnd w:id="168"/>
    <w:p>
      <w:pPr>
        <w:ind w:right="80"/>
        <w:spacing w:after="0" w:line="243" w:lineRule="auto"/>
        <w:rPr>
          <w:sz w:val="20"/>
          <w:szCs w:val="20"/>
          <w:color w:val="auto"/>
        </w:rPr>
      </w:pPr>
      <w:r>
        <w:rPr>
          <w:rFonts w:ascii="Times New Roman" w:cs="Times New Roman" w:eastAsia="Times New Roman" w:hAnsi="Times New Roman"/>
          <w:sz w:val="16"/>
          <w:szCs w:val="16"/>
          <w:color w:val="auto"/>
        </w:rPr>
        <w:t>certain past defaults under the Indenture and their consequences. Any such consent or waiver by the Holders of the Senior Notes of such series shall be conclusive and binding upon such Holders and upon all future Holders of Senior Notes of such series and of any Senior Note issued upon the registration of transfer hereof or in exchange herefor or in lieu hereof, whether or not notation of such consent or waiver is made upon such Senior Notes.</w:t>
      </w:r>
    </w:p>
    <w:p>
      <w:pPr>
        <w:spacing w:after="0" w:line="167"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6"/>
          <w:szCs w:val="16"/>
          <w:color w:val="auto"/>
        </w:rPr>
        <w:t>No reference herein to the Indenture and no provision of this Senior Note or of the Indenture shall alter or impair the obligation of the Company, which is absolute and unconditional, to pay the principal of (and premium, if any) and interest on this Senior Note at the times, place and rate, and in the coin or currency, herein prescribed.</w:t>
      </w:r>
    </w:p>
    <w:p>
      <w:pPr>
        <w:spacing w:after="0" w:line="164" w:lineRule="exact"/>
        <w:rPr>
          <w:sz w:val="20"/>
          <w:szCs w:val="20"/>
          <w:color w:val="auto"/>
        </w:rPr>
      </w:pPr>
    </w:p>
    <w:p>
      <w:pPr>
        <w:ind w:right="40" w:firstLine="576"/>
        <w:spacing w:after="0" w:line="239" w:lineRule="auto"/>
        <w:rPr>
          <w:sz w:val="20"/>
          <w:szCs w:val="20"/>
          <w:color w:val="auto"/>
        </w:rPr>
      </w:pPr>
      <w:r>
        <w:rPr>
          <w:rFonts w:ascii="Times New Roman" w:cs="Times New Roman" w:eastAsia="Times New Roman" w:hAnsi="Times New Roman"/>
          <w:sz w:val="16"/>
          <w:szCs w:val="16"/>
          <w:color w:val="auto"/>
        </w:rPr>
        <w:t>As provided in the Indenture and subject to certain limitations therein set forth, the transfer of this Senior Note is registrable in the register of the Senior Notes, upon surrender of this Senior Note for registration of transfer at the office or agency of the Company in any place where the principal of (and premium, if any) and interest on this Senior Note are payable, duly endorsed by, or accompanied by a written instrument of transfer in form satisfactory to the Company and the Security Registrar duly executed by, the Holder hereof or his attorney duly authorized in writing, and thereupon one or more new Senior Notes, of authorized denominations and for the same aggregate principal amount, will be issued to the designated transferee or transferees.</w:t>
      </w:r>
    </w:p>
    <w:p>
      <w:pPr>
        <w:spacing w:after="0" w:line="173"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6"/>
          <w:szCs w:val="16"/>
          <w:color w:val="auto"/>
        </w:rPr>
        <w:t>The Senior Notes are issuable in registered form without coupons in denominations of $2,000 and in multiples of $ 1,000 in excess thereof. As provided in the Indenture and subject to certain limitations therein set forth, the Senior Notes are exchangeable for a like aggregate principal amount of Senior Notes of a different authorized denomination, as requested by the Holder surrendering the same.</w:t>
      </w:r>
    </w:p>
    <w:p>
      <w:pPr>
        <w:spacing w:after="0" w:line="162" w:lineRule="exact"/>
        <w:rPr>
          <w:sz w:val="20"/>
          <w:szCs w:val="20"/>
          <w:color w:val="auto"/>
        </w:rPr>
      </w:pPr>
    </w:p>
    <w:p>
      <w:pPr>
        <w:ind w:firstLine="576"/>
        <w:spacing w:after="0"/>
        <w:rPr>
          <w:sz w:val="20"/>
          <w:szCs w:val="20"/>
          <w:color w:val="auto"/>
        </w:rPr>
      </w:pPr>
      <w:r>
        <w:rPr>
          <w:rFonts w:ascii="Times New Roman" w:cs="Times New Roman" w:eastAsia="Times New Roman" w:hAnsi="Times New Roman"/>
          <w:sz w:val="16"/>
          <w:szCs w:val="16"/>
          <w:color w:val="auto"/>
        </w:rPr>
        <w:t xml:space="preserve">This Senior Note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(and if this Senior Note is a Global Security, any beneficial interest herein)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shall not be offered, sold, pledged or otherwise transferred except in compliance with the requirements set forth in the legends hereof. If this Senior Note is an individual Security, the Company or the Trustee, as Security Registrar, shall not be required to effect any transfer (other than to the Company or The Depository Trust Company or its nominee) of this Senior Note on the Security Register unless it receives a certificate substantially in the form set forth in </w:t>
      </w:r>
      <w:r>
        <w:rPr>
          <w:rFonts w:ascii="Times New Roman" w:cs="Times New Roman" w:eastAsia="Times New Roman" w:hAnsi="Times New Roman"/>
          <w:sz w:val="16"/>
          <w:szCs w:val="16"/>
          <w:i w:val="1"/>
          <w:iCs w:val="1"/>
          <w:color w:val="auto"/>
        </w:rPr>
        <w:t>Annex A</w:t>
      </w:r>
      <w:r>
        <w:rPr>
          <w:rFonts w:ascii="Times New Roman" w:cs="Times New Roman" w:eastAsia="Times New Roman" w:hAnsi="Times New Roman"/>
          <w:sz w:val="16"/>
          <w:szCs w:val="16"/>
          <w:color w:val="auto"/>
        </w:rPr>
        <w:t xml:space="preserve"> and duly executed by the Holder hereof or his attorney duly authorized in writing, together with other documentation, including any opinions of counsel, requested by the Company or the Trustee in order to confirm compliance with the transfer restrictions set forth herein.</w:t>
      </w:r>
    </w:p>
    <w:p>
      <w:pPr>
        <w:spacing w:after="0" w:line="170" w:lineRule="exact"/>
        <w:rPr>
          <w:sz w:val="20"/>
          <w:szCs w:val="20"/>
          <w:color w:val="auto"/>
        </w:rPr>
      </w:pPr>
    </w:p>
    <w:p>
      <w:pPr>
        <w:ind w:right="600" w:firstLine="576"/>
        <w:spacing w:after="0" w:line="259" w:lineRule="auto"/>
        <w:rPr>
          <w:sz w:val="20"/>
          <w:szCs w:val="20"/>
          <w:color w:val="auto"/>
        </w:rPr>
      </w:pPr>
      <w:r>
        <w:rPr>
          <w:rFonts w:ascii="Times New Roman" w:cs="Times New Roman" w:eastAsia="Times New Roman" w:hAnsi="Times New Roman"/>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5" w:lineRule="exact"/>
        <w:rPr>
          <w:sz w:val="20"/>
          <w:szCs w:val="20"/>
          <w:color w:val="auto"/>
        </w:rPr>
      </w:pPr>
    </w:p>
    <w:p>
      <w:pPr>
        <w:jc w:val="both"/>
        <w:ind w:right="80" w:firstLine="576"/>
        <w:spacing w:after="0" w:line="247" w:lineRule="auto"/>
        <w:rPr>
          <w:sz w:val="20"/>
          <w:szCs w:val="20"/>
          <w:color w:val="auto"/>
        </w:rPr>
      </w:pPr>
      <w:r>
        <w:rPr>
          <w:rFonts w:ascii="Times New Roman" w:cs="Times New Roman" w:eastAsia="Times New Roman" w:hAnsi="Times New Roman"/>
          <w:sz w:val="16"/>
          <w:szCs w:val="16"/>
          <w:color w:val="auto"/>
        </w:rPr>
        <w:t>The Company, the Trustee and any agent of the Company or the Trustee may treat the Person in whose name this Senior Note is registered as the owner hereof for all purposes, whether or not this Senior Note be overdue, and neither the Company, the Trustee nor any such agent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737" w:right="1300" w:bottom="1440" w:gutter="0" w:footer="0" w:header="0"/>
        </w:sectPr>
      </w:pPr>
    </w:p>
    <w:bookmarkStart w:id="169" w:name="page170"/>
    <w:bookmarkEnd w:id="169"/>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Guarantor shall fully, unconditionally and irrevocably guarantee, on an unsecured senior basis, the obligations of the Company under this Senior Note, subject to the terms, conditions and limitations provided in the Indenture and the Guarantee, dated as of March 15, 2018, from the Guarantor to the Trustee, relating to this Senior Note.</w:t>
      </w:r>
    </w:p>
    <w:p>
      <w:pPr>
        <w:spacing w:after="0" w:line="164" w:lineRule="exact"/>
        <w:rPr>
          <w:sz w:val="20"/>
          <w:szCs w:val="20"/>
          <w:color w:val="auto"/>
        </w:rPr>
      </w:pPr>
    </w:p>
    <w:p>
      <w:pPr>
        <w:ind w:right="260" w:firstLine="576"/>
        <w:spacing w:after="0" w:line="259" w:lineRule="auto"/>
        <w:rPr>
          <w:sz w:val="20"/>
          <w:szCs w:val="20"/>
          <w:color w:val="auto"/>
        </w:rPr>
      </w:pPr>
      <w:r>
        <w:rPr>
          <w:rFonts w:ascii="Times New Roman" w:cs="Times New Roman" w:eastAsia="Times New Roman" w:hAnsi="Times New Roman"/>
          <w:sz w:val="16"/>
          <w:szCs w:val="16"/>
          <w:color w:val="auto"/>
        </w:rPr>
        <w:t>THIS SECURITY SHALL BE GOVERNED BY AND CONSTRUED IN ACCORDANCE WITH THE LAWS OF THE STATE OF NEW YORK.</w:t>
      </w:r>
    </w:p>
    <w:p>
      <w:pPr>
        <w:spacing w:after="0" w:line="155"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EACH OF THE COMPANY AND THE TRUSTEE HEREBY IRREVOCABLY WAIVES, TO THE FULLEST EXTENT PERMITTED BY APPLICABLE LAW, ANY AND ALL RIGHT TO TRIAL BY JURY IN ANY LEGAL PROCEEDING ARISING OUT OF OR RELATING TO THE INDENTURE, THIS SENIOR NOTE OR THE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200"/>
          </w:cols>
          <w:pgMar w:left="1280" w:top="737" w:right="1420" w:bottom="1440" w:gutter="0" w:footer="0" w:header="0"/>
        </w:sectPr>
      </w:pPr>
    </w:p>
    <w:bookmarkStart w:id="170" w:name="page171"/>
    <w:bookmarkEnd w:id="170"/>
    <w:p>
      <w:pPr>
        <w:ind w:left="8760"/>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Rule 144A Certificate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Group,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711 High Street</w:t>
      </w:r>
    </w:p>
    <w:p>
      <w:pPr>
        <w:spacing w:after="0"/>
        <w:rPr>
          <w:sz w:val="20"/>
          <w:szCs w:val="20"/>
          <w:color w:val="auto"/>
        </w:rPr>
      </w:pPr>
      <w:r>
        <w:rPr>
          <w:rFonts w:ascii="Times New Roman" w:cs="Times New Roman" w:eastAsia="Times New Roman" w:hAnsi="Times New Roman"/>
          <w:sz w:val="16"/>
          <w:szCs w:val="16"/>
          <w:color w:val="auto"/>
        </w:rPr>
        <w:t>Des Moines, Iowa 50392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 of New York Mellon Trust Company, N.A.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Trust – Transaction Management Group</w:t>
      </w:r>
    </w:p>
    <w:p>
      <w:pPr>
        <w:spacing w:after="0" w:line="234" w:lineRule="auto"/>
        <w:rPr>
          <w:sz w:val="20"/>
          <w:szCs w:val="20"/>
          <w:color w:val="auto"/>
        </w:rPr>
      </w:pPr>
      <w:r>
        <w:rPr>
          <w:rFonts w:ascii="Times New Roman" w:cs="Times New Roman" w:eastAsia="Times New Roman" w:hAnsi="Times New Roman"/>
          <w:sz w:val="16"/>
          <w:szCs w:val="16"/>
          <w:color w:val="auto"/>
        </w:rPr>
        <w:t>2 North LaSalle Street, 7th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 60602</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Re:</w:t>
            </w:r>
          </w:p>
        </w:tc>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6"/>
              </w:rPr>
              <w:t>4.111% Senior Notes due 2028 of Principal Financial Group, Inc. (the “Senior</w:t>
            </w:r>
          </w:p>
        </w:tc>
      </w:tr>
      <w:tr>
        <w:trPr>
          <w:trHeight w:val="160"/>
        </w:trPr>
        <w:tc>
          <w:tcPr>
            <w:tcW w:w="580" w:type="dxa"/>
            <w:vAlign w:val="bottom"/>
          </w:tcPr>
          <w:p>
            <w:pPr>
              <w:spacing w:after="0"/>
              <w:rPr>
                <w:sz w:val="13"/>
                <w:szCs w:val="13"/>
                <w:color w:val="auto"/>
              </w:rPr>
            </w:pPr>
          </w:p>
        </w:tc>
        <w:tc>
          <w:tcPr>
            <w:tcW w:w="44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Notes”)</w:t>
            </w:r>
          </w:p>
        </w:tc>
        <w:tc>
          <w:tcPr>
            <w:tcW w:w="400" w:type="dxa"/>
            <w:vAlign w:val="bottom"/>
            <w:tcBorders>
              <w:top w:val="single" w:sz="8" w:color="auto"/>
            </w:tcBorders>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1"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6"/>
          <w:szCs w:val="16"/>
          <w:color w:val="auto"/>
        </w:rPr>
        <w:t>Reference is made to the Indenture, dated as of May 21, 2009 (the “</w:t>
      </w:r>
      <w:r>
        <w:rPr>
          <w:rFonts w:ascii="Times New Roman" w:cs="Times New Roman" w:eastAsia="Times New Roman" w:hAnsi="Times New Roman"/>
          <w:sz w:val="16"/>
          <w:szCs w:val="16"/>
          <w:u w:val="single" w:color="auto"/>
          <w:color w:val="auto"/>
        </w:rPr>
        <w:t>Original Indenture</w:t>
      </w:r>
      <w:r>
        <w:rPr>
          <w:rFonts w:ascii="Times New Roman" w:cs="Times New Roman" w:eastAsia="Times New Roman" w:hAnsi="Times New Roman"/>
          <w:sz w:val="16"/>
          <w:szCs w:val="16"/>
          <w:color w:val="auto"/>
        </w:rPr>
        <w:t>”), as amended and supplemented by the Eleventh Supplemental Indenture, dated as of March 15, 2018 (the “</w:t>
      </w:r>
      <w:r>
        <w:rPr>
          <w:rFonts w:ascii="Times New Roman" w:cs="Times New Roman" w:eastAsia="Times New Roman" w:hAnsi="Times New Roman"/>
          <w:sz w:val="16"/>
          <w:szCs w:val="16"/>
          <w:u w:val="single" w:color="auto"/>
          <w:color w:val="auto"/>
        </w:rPr>
        <w:t>Supplemental Indenture</w:t>
      </w:r>
      <w:r>
        <w:rPr>
          <w:rFonts w:ascii="Times New Roman" w:cs="Times New Roman" w:eastAsia="Times New Roman" w:hAnsi="Times New Roman"/>
          <w:sz w:val="16"/>
          <w:szCs w:val="16"/>
          <w:color w:val="auto"/>
        </w:rPr>
        <w:t>” and, together with the Original Indenture,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relating to the Senior Notes. Terms used herein and defined in the Indenture or in Rule 144A under the U.S.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are used herein as so defined.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348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This certificate relates to U.S.$</w:t>
            </w:r>
          </w:p>
        </w:tc>
        <w:tc>
          <w:tcPr>
            <w:tcW w:w="56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principal amount of Senior Notes, which are evidenced by the following certificate(s) (the</w:t>
            </w:r>
          </w:p>
        </w:tc>
      </w:tr>
      <w:tr>
        <w:trPr>
          <w:trHeight w:val="160"/>
        </w:trPr>
        <w:tc>
          <w:tcPr>
            <w:tcW w:w="250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color w:val="auto"/>
              </w:rPr>
              <w:t>“Specified Securities”):</w:t>
            </w:r>
          </w:p>
        </w:tc>
        <w:tc>
          <w:tcPr>
            <w:tcW w:w="1060" w:type="dxa"/>
            <w:vAlign w:val="bottom"/>
            <w:tcBorders>
              <w:top w:val="single" w:sz="8" w:color="auto"/>
            </w:tcBorders>
          </w:tcPr>
          <w:p>
            <w:pPr>
              <w:spacing w:after="0"/>
              <w:rPr>
                <w:sz w:val="13"/>
                <w:szCs w:val="13"/>
                <w:color w:val="auto"/>
              </w:rPr>
            </w:pPr>
          </w:p>
        </w:tc>
        <w:tc>
          <w:tcPr>
            <w:tcW w:w="56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386"/>
        </w:trPr>
        <w:tc>
          <w:tcPr>
            <w:tcW w:w="80" w:type="dxa"/>
            <w:vAlign w:val="bottom"/>
          </w:tcPr>
          <w:p>
            <w:pPr>
              <w:spacing w:after="0"/>
              <w:rPr>
                <w:sz w:val="24"/>
                <w:szCs w:val="24"/>
                <w:color w:val="auto"/>
              </w:rPr>
            </w:pPr>
          </w:p>
        </w:tc>
        <w:tc>
          <w:tcPr>
            <w:tcW w:w="348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CUSIP No.:42981C AA6</w:t>
            </w:r>
          </w:p>
        </w:tc>
        <w:tc>
          <w:tcPr>
            <w:tcW w:w="566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98"/>
              </w:rPr>
              <w:t>CERTIFICATE No(s).</w:t>
            </w:r>
          </w:p>
        </w:tc>
        <w:tc>
          <w:tcPr>
            <w:tcW w:w="1520" w:type="dxa"/>
            <w:vAlign w:val="bottom"/>
            <w:tcBorders>
              <w:bottom w:val="single" w:sz="8" w:color="auto"/>
            </w:tcBorders>
            <w:gridSpan w:val="2"/>
          </w:tcPr>
          <w:p>
            <w:pPr>
              <w:spacing w:after="0"/>
              <w:rPr>
                <w:sz w:val="24"/>
                <w:szCs w:val="24"/>
                <w:color w:val="auto"/>
              </w:rPr>
            </w:pPr>
          </w:p>
        </w:tc>
        <w:tc>
          <w:tcPr>
            <w:tcW w:w="5660" w:type="dxa"/>
            <w:vAlign w:val="bottom"/>
          </w:tcPr>
          <w:p>
            <w:pPr>
              <w:spacing w:after="0"/>
              <w:rPr>
                <w:sz w:val="24"/>
                <w:szCs w:val="24"/>
                <w:color w:val="auto"/>
              </w:rPr>
            </w:pPr>
          </w:p>
        </w:tc>
      </w:tr>
    </w:tbl>
    <w:p>
      <w:pPr>
        <w:spacing w:after="0" w:line="191"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person in whose name this certificate is executed below (the “</w:t>
      </w:r>
      <w:r>
        <w:rPr>
          <w:rFonts w:ascii="Times New Roman" w:cs="Times New Roman" w:eastAsia="Times New Roman" w:hAnsi="Times New Roman"/>
          <w:sz w:val="16"/>
          <w:szCs w:val="16"/>
          <w:u w:val="single" w:color="auto"/>
          <w:color w:val="auto"/>
        </w:rPr>
        <w:t>Undersigned</w:t>
      </w:r>
      <w:r>
        <w:rPr>
          <w:rFonts w:ascii="Times New Roman" w:cs="Times New Roman" w:eastAsia="Times New Roman" w:hAnsi="Times New Roman"/>
          <w:sz w:val="16"/>
          <w:szCs w:val="16"/>
          <w:color w:val="auto"/>
        </w:rPr>
        <w:t>”) hereby certifies that (i) it is the sole registered holder of the Specified Securities, or (ii) it is acting on behalf of all the registered holders of the Specified Securities and is duly authorized by them to do so. Such registered holder or holders are referred to herein collectively as the “Holder”.</w:t>
      </w:r>
    </w:p>
    <w:p>
      <w:pPr>
        <w:spacing w:after="0" w:line="164" w:lineRule="exact"/>
        <w:rPr>
          <w:sz w:val="20"/>
          <w:szCs w:val="20"/>
          <w:color w:val="auto"/>
        </w:rPr>
      </w:pPr>
    </w:p>
    <w:p>
      <w:pPr>
        <w:jc w:val="both"/>
        <w:ind w:right="140" w:firstLine="576"/>
        <w:spacing w:after="0" w:line="247" w:lineRule="auto"/>
        <w:rPr>
          <w:sz w:val="20"/>
          <w:szCs w:val="20"/>
          <w:color w:val="auto"/>
        </w:rPr>
      </w:pPr>
      <w:r>
        <w:rPr>
          <w:rFonts w:ascii="Times New Roman" w:cs="Times New Roman" w:eastAsia="Times New Roman" w:hAnsi="Times New Roman"/>
          <w:sz w:val="16"/>
          <w:szCs w:val="16"/>
          <w:color w:val="auto"/>
        </w:rPr>
        <w:t>The Holder has requested that the Specified Securities be transferred. In connection with such transfer, the Holder hereby certifies that the transfer is being effected in accordance with Rule 144A under the Securities Act and all applicable securities laws of the states of the United States and other jurisdictions. Accordingly, the Holder hereby further certifies as follows:</w:t>
      </w:r>
    </w:p>
    <w:p>
      <w:pPr>
        <w:spacing w:after="0" w:line="164" w:lineRule="exact"/>
        <w:rPr>
          <w:sz w:val="20"/>
          <w:szCs w:val="20"/>
          <w:color w:val="auto"/>
        </w:rPr>
      </w:pPr>
    </w:p>
    <w:p>
      <w:pPr>
        <w:ind w:left="1160" w:right="20" w:hanging="586"/>
        <w:spacing w:after="0" w:line="247" w:lineRule="auto"/>
        <w:tabs>
          <w:tab w:leader="none" w:pos="11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Specified Securities are being transferred to a person that the Holder and any person acting on its behalf reasonably believe is a “qualified institutional buyer” within the meaning of Rule 144A, acquiring for its own account or for the account of a qualified institutional buyer;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5" w:right="1280" w:bottom="1440" w:gutter="0" w:footer="0" w:header="0"/>
        </w:sectPr>
      </w:pPr>
    </w:p>
    <w:bookmarkStart w:id="171" w:name="page172"/>
    <w:bookmarkEnd w:id="171"/>
    <w:p>
      <w:pPr>
        <w:ind w:left="1160" w:hanging="586"/>
        <w:spacing w:after="0" w:line="259" w:lineRule="auto"/>
        <w:tabs>
          <w:tab w:leader="none" w:pos="11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and any person acting on its behalf have taken reasonable steps to ensure that such transferee of the Specified Securities is aware that the Holder may be relying on Rule 144A in connection with the transfer.</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certificate and the statements contained herein are made for your benefit and the benefit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5715</wp:posOffset>
            </wp:positionV>
            <wp:extent cx="266001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60015" cy="7620"/>
                    </a:xfrm>
                    <a:prstGeom prst="rect">
                      <a:avLst/>
                    </a:prstGeom>
                    <a:noFill/>
                  </pic:spPr>
                </pic:pic>
              </a:graphicData>
            </a:graphic>
          </wp:anchor>
        </w:drawing>
      </w:r>
    </w:p>
    <w:p>
      <w:pPr>
        <w:spacing w:after="0" w:line="1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3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5715</wp:posOffset>
            </wp:positionV>
            <wp:extent cx="272859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28595" cy="7620"/>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6"/>
          <w:szCs w:val="16"/>
          <w:color w:val="auto"/>
        </w:rPr>
        <w:t>Name:</w:t>
      </w:r>
    </w:p>
    <w:p>
      <w:pPr>
        <w:ind w:left="5040"/>
        <w:spacing w:after="0"/>
        <w:rPr>
          <w:sz w:val="20"/>
          <w:szCs w:val="20"/>
          <w:color w:val="auto"/>
        </w:rPr>
      </w:pPr>
      <w:r>
        <w:rPr>
          <w:rFonts w:ascii="Times New Roman" w:cs="Times New Roman" w:eastAsia="Times New Roman" w:hAnsi="Times New Roman"/>
          <w:sz w:val="16"/>
          <w:szCs w:val="16"/>
          <w:color w:val="auto"/>
        </w:rPr>
        <w:t>Title:</w:t>
      </w:r>
    </w:p>
    <w:p>
      <w:pPr>
        <w:ind w:left="5040"/>
        <w:spacing w:after="0"/>
        <w:rPr>
          <w:sz w:val="20"/>
          <w:szCs w:val="20"/>
          <w:color w:val="auto"/>
        </w:rPr>
      </w:pPr>
      <w:r>
        <w:rPr>
          <w:rFonts w:ascii="Times New Roman" w:cs="Times New Roman" w:eastAsia="Times New Roman" w:hAnsi="Times New Roman"/>
          <w:sz w:val="16"/>
          <w:szCs w:val="16"/>
          <w:color w:val="auto"/>
        </w:rPr>
        <w:t>Address:</w:t>
      </w:r>
    </w:p>
    <w:p>
      <w:pPr>
        <w:spacing w:after="0" w:line="33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(If the Undersigned, as such term is defined in the third paragraph of this</w:t>
      </w:r>
    </w:p>
    <w:p>
      <w:pPr>
        <w:spacing w:after="0" w:line="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certificate, is a corporation, partnership or fiduciary, the title of the</w:t>
      </w:r>
    </w:p>
    <w:p>
      <w:pPr>
        <w:ind w:left="4760"/>
        <w:spacing w:after="0"/>
        <w:rPr>
          <w:sz w:val="20"/>
          <w:szCs w:val="20"/>
          <w:color w:val="auto"/>
        </w:rPr>
      </w:pPr>
      <w:r>
        <w:rPr>
          <w:rFonts w:ascii="Times New Roman" w:cs="Times New Roman" w:eastAsia="Times New Roman" w:hAnsi="Times New Roman"/>
          <w:sz w:val="16"/>
          <w:szCs w:val="16"/>
          <w:color w:val="auto"/>
        </w:rPr>
        <w:t>person signing on behalf of the Undersigned must be stated.)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7" w:right="128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6"/>
          <w:szCs w:val="16"/>
          <w:color w:val="auto"/>
        </w:rPr>
        <w:t>EXHIBIT 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RESTRICTED LEGEND</w:t>
      </w:r>
    </w:p>
    <w:p>
      <w:pPr>
        <w:spacing w:after="0" w:line="188" w:lineRule="exact"/>
        <w:rPr>
          <w:sz w:val="20"/>
          <w:szCs w:val="20"/>
          <w:color w:val="auto"/>
        </w:rPr>
      </w:pPr>
    </w:p>
    <w:p>
      <w:pPr>
        <w:jc w:val="both"/>
        <w:ind w:right="40" w:firstLine="576"/>
        <w:spacing w:after="0" w:line="284" w:lineRule="auto"/>
        <w:rPr>
          <w:sz w:val="20"/>
          <w:szCs w:val="20"/>
          <w:color w:val="auto"/>
        </w:rPr>
      </w:pPr>
      <w:r>
        <w:rPr>
          <w:rFonts w:ascii="Times New Roman" w:cs="Times New Roman" w:eastAsia="Times New Roman" w:hAnsi="Times New Roman"/>
          <w:sz w:val="14"/>
          <w:szCs w:val="14"/>
          <w:color w:val="auto"/>
        </w:rPr>
        <w:t>THE SECURITIES EVIDENCED HEREBY HAVE NOT BEEN REGISTERED UNDER THE U.S. SECURITIES ACT OF 1933, AS AMENDED (THE “SECURITIES ACT”), OR UNDER ANY STATE SECURITIES LAWS AND MAY NOT BE OFFERED, SOLD, PLEDGED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w:t>
      </w:r>
    </w:p>
    <w:p>
      <w:pPr>
        <w:spacing w:after="0" w:line="140" w:lineRule="exact"/>
        <w:rPr>
          <w:sz w:val="20"/>
          <w:szCs w:val="20"/>
          <w:color w:val="auto"/>
        </w:rPr>
      </w:pPr>
    </w:p>
    <w:p>
      <w:pPr>
        <w:jc w:val="both"/>
        <w:ind w:right="40" w:firstLine="576"/>
        <w:spacing w:after="0" w:line="239" w:lineRule="auto"/>
        <w:rPr>
          <w:sz w:val="20"/>
          <w:szCs w:val="20"/>
          <w:color w:val="auto"/>
        </w:rPr>
      </w:pPr>
      <w:r>
        <w:rPr>
          <w:rFonts w:ascii="Times New Roman" w:cs="Times New Roman" w:eastAsia="Times New Roman" w:hAnsi="Times New Roman"/>
          <w:sz w:val="16"/>
          <w:szCs w:val="16"/>
          <w:color w:val="auto"/>
        </w:rPr>
        <w:t>THIS SECURITY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OR PURSUANT TO RULE 144 UNDER THE SECURITIES ACT OR ANOTHER AVAILABLE EXEMPTION FROM THE REGISTRATION REQUIREMENTS OF THE SECURITIES ACT AND (B) IN ACCORDANCE WITH ALL APPLICABLE SECURITIES LAWS OF THE STATES OF THE UNITED STATES AND OTHER JURISDICTIONS.</w:t>
      </w:r>
    </w:p>
    <w:p>
      <w:pPr>
        <w:spacing w:after="0" w:line="170"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ANY PURCHASER OR HOLDER OF THE SECURITIES OR ANY INTEREST THEREIN REPRESENTS BY ITS PURCHASE AND HOLDING OF THE SECURITIES THAT EITHER (1) IT IS NOT (A) AN EMPLOYEE BENEFIT PLAN AS DEFINED IN SECTION 3(3) OF THE U.S. EMPLOYEE RETIREMENT INCOME SECURITY ACT OF 1974, AS AMENDED (“ERISA”) OR THAT IS SUBJECT TO ERISA OR A PLAN DESCRIBED IN SECTION 4975 OF THE INTERNAL REVENUE CODE OF 1986, AS AMENDED (THE “CODE”), (B) AN EMPLOYEE BENEFIT PLAN THAT IS A GOVERNMENTAL PLAN (AS DEFINED IN SECTION 3(32) OF ERISA), A CHURCH PLAN (AS DEFINED IN SECTION 3(33) OF ERISA) OR A NON-U.S. PLAN (AS 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DEPARTMENT OF LABOR REGULATIONS OR OTHERWISE, OR (2) THE PURCHASE AND HOLDING OF THE SECURITIES WILL NOT CONSTITUTE A NON-EXEMPT PROHIBITED TRANSACTION UNDER SECTION 406 OF ERISA, SECTION 4975 OF THE CODE OR UNDER ANY APPLICABLE SIMILAR LAWS.</w:t>
      </w:r>
    </w:p>
    <w:p>
      <w:pPr>
        <w:spacing w:after="0" w:line="172" w:lineRule="exact"/>
        <w:rPr>
          <w:sz w:val="20"/>
          <w:szCs w:val="20"/>
          <w:color w:val="auto"/>
        </w:rPr>
      </w:pPr>
    </w:p>
    <w:p>
      <w:pPr>
        <w:jc w:val="both"/>
        <w:ind w:right="60" w:firstLine="576"/>
        <w:spacing w:after="0" w:line="289" w:lineRule="auto"/>
        <w:rPr>
          <w:sz w:val="20"/>
          <w:szCs w:val="20"/>
          <w:color w:val="auto"/>
        </w:rPr>
      </w:pPr>
      <w:r>
        <w:rPr>
          <w:rFonts w:ascii="Times New Roman" w:cs="Times New Roman" w:eastAsia="Times New Roman" w:hAnsi="Times New Roman"/>
          <w:sz w:val="14"/>
          <w:szCs w:val="14"/>
          <w:color w:val="auto"/>
        </w:rPr>
        <w:t>PRINCIPAL FINANCIAL GROUP, INC. RESERVES THE RIGHT TO MODIFY THE FORM OF CERTIFICATES REPRESENTING THE SECURITIES FROM TIME TO TIME TO REFLECT ANY CHANGES IN APPLICABLE LAW OR REGULATION (OR THE INTERPRETATION THEREOF) OR IN PRACTICES RELATING TO THEIR PURCHASE OR RESALE. THE SECURITIES AND RELATED DOCUMENTATION, INCLUDING THIS LEGEND, MAY BE AMENDED OR SUPPLEMENTED FROM TIME TO TIME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7" w:right="1280" w:bottom="1440" w:gutter="0" w:footer="0" w:header="0"/>
        </w:sectPr>
      </w:pPr>
    </w:p>
    <w:bookmarkStart w:id="173" w:name="page174"/>
    <w:bookmarkEnd w:id="173"/>
    <w:p>
      <w:pPr>
        <w:jc w:val="both"/>
        <w:spacing w:after="0" w:line="289" w:lineRule="auto"/>
        <w:rPr>
          <w:sz w:val="20"/>
          <w:szCs w:val="20"/>
          <w:color w:val="auto"/>
        </w:rPr>
      </w:pPr>
      <w:r>
        <w:rPr>
          <w:rFonts w:ascii="Times New Roman" w:cs="Times New Roman" w:eastAsia="Times New Roman" w:hAnsi="Times New Roman"/>
          <w:sz w:val="14"/>
          <w:szCs w:val="14"/>
          <w:color w:val="auto"/>
        </w:rPr>
        <w:t>MODIFY RESTRICTIONS ON AND PROCEDURES FOR RESALES AND OTHER TRANSFERS OF THE SECURITIES TO REFLECT ANY CHANGE IN APPLICABLE LAW OR REGULATION (OR THE INTERPRETATION THEREOF) OR IN PRACTICES RELATING TO THE RESALE OR TRANSFER OF SECURITIES SUCH AS THE SECURITIES GENERALLY. EACH HOLDER OF THIS CERTIFICATE SHALL BE DEEMED, BY THE ACCEPTANCE OF THIS CERTIFICATE, TO HAVE AGREED TO ANY SUCH AMENDMENT OR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737" w:right="132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color w:val="auto"/>
        </w:rPr>
        <w:t>EXHIBIT C</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[FORM OF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250825</wp:posOffset>
            </wp:positionV>
            <wp:extent cx="593026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30265" cy="762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266065</wp:posOffset>
            </wp:positionV>
            <wp:extent cx="593026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4.111% Senior Notes due 2028</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GUARANTEE</w:t>
      </w:r>
    </w:p>
    <w:p>
      <w:pPr>
        <w:spacing w:after="0" w:line="19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from</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 FINANCIAL SERVICES, INC.,</w:t>
      </w:r>
    </w:p>
    <w:p>
      <w:pPr>
        <w:spacing w:after="0" w:line="19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Guarantor</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to</w:t>
      </w:r>
    </w:p>
    <w:p>
      <w:pPr>
        <w:spacing w:after="0" w:line="18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 BANK OF NEW YORK MELLON TRUST COMPANY, N.A.,</w:t>
      </w:r>
    </w:p>
    <w:p>
      <w:pPr>
        <w:spacing w:after="0" w:line="2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Dated as of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249555</wp:posOffset>
            </wp:positionV>
            <wp:extent cx="593026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30265" cy="762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264795</wp:posOffset>
            </wp:positionV>
            <wp:extent cx="593026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30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180"/>
          </w:cols>
          <w:pgMar w:left="1440" w:top="737" w:right="128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6"/>
          <w:szCs w:val="16"/>
          <w:b w:val="1"/>
          <w:bCs w:val="1"/>
          <w:color w:val="auto"/>
        </w:rPr>
        <w:t>GUARANTEE</w:t>
      </w:r>
    </w:p>
    <w:p>
      <w:pPr>
        <w:spacing w:after="0" w:line="190" w:lineRule="exact"/>
        <w:rPr>
          <w:sz w:val="20"/>
          <w:szCs w:val="20"/>
          <w:color w:val="auto"/>
        </w:rPr>
      </w:pPr>
    </w:p>
    <w:p>
      <w:pPr>
        <w:ind w:right="40" w:firstLine="576"/>
        <w:spacing w:after="0" w:line="238" w:lineRule="auto"/>
        <w:rPr>
          <w:sz w:val="20"/>
          <w:szCs w:val="20"/>
          <w:color w:val="auto"/>
        </w:rPr>
      </w:pPr>
      <w:r>
        <w:rPr>
          <w:rFonts w:ascii="Times New Roman" w:cs="Times New Roman" w:eastAsia="Times New Roman" w:hAnsi="Times New Roman"/>
          <w:sz w:val="16"/>
          <w:szCs w:val="16"/>
          <w:color w:val="auto"/>
        </w:rPr>
        <w:t>This Guarantee (this “</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is made and entered into as of March 15, 2018 from PRINCIPAL FINANCIAL SERVICES, INC., a corporation duly organized and existing under the laws of the State of Iowa, as guarantor (herein called the “</w:t>
      </w:r>
      <w:r>
        <w:rPr>
          <w:rFonts w:ascii="Times New Roman" w:cs="Times New Roman" w:eastAsia="Times New Roman" w:hAnsi="Times New Roman"/>
          <w:sz w:val="16"/>
          <w:szCs w:val="16"/>
          <w:u w:val="single" w:color="auto"/>
          <w:color w:val="auto"/>
        </w:rPr>
        <w:t>Guarantor</w:t>
      </w:r>
      <w:r>
        <w:rPr>
          <w:rFonts w:ascii="Times New Roman" w:cs="Times New Roman" w:eastAsia="Times New Roman" w:hAnsi="Times New Roman"/>
          <w:sz w:val="16"/>
          <w:szCs w:val="16"/>
          <w:color w:val="auto"/>
        </w:rPr>
        <w:t>”, which term includes any successor hereunder), to THE BANK OF NEW YORK MELLON TRUST COMPANY, N.A., a national banking association incorporated and existing under the laws of the United States of America,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as further defined in the Indenture hereinafter referred to). Defined terms used herein without definition shall have the meanings given to them in the Senior Indenture, dated as of May 21, 2009, among Principal Financial Group,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as further defined in the Indenture hereinafter referred to), the Guarantor and the Trustee, as amended and supplemented by the Eleventh Supplemental Indenture, dated as of March 15, 2018, among the Company, the Guarantor and the Trustee with respect to the Senior Notes as defined below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0" w:lineRule="exact"/>
        <w:rPr>
          <w:sz w:val="20"/>
          <w:szCs w:val="20"/>
          <w:color w:val="auto"/>
        </w:rPr>
      </w:pPr>
    </w:p>
    <w:p>
      <w:pPr>
        <w:ind w:right="360" w:firstLine="576"/>
        <w:spacing w:after="0" w:line="247" w:lineRule="auto"/>
        <w:rPr>
          <w:sz w:val="20"/>
          <w:szCs w:val="20"/>
          <w:color w:val="auto"/>
        </w:rPr>
      </w:pPr>
      <w:r>
        <w:rPr>
          <w:rFonts w:ascii="Times New Roman" w:cs="Times New Roman" w:eastAsia="Times New Roman" w:hAnsi="Times New Roman"/>
          <w:sz w:val="16"/>
          <w:szCs w:val="16"/>
          <w:color w:val="auto"/>
        </w:rPr>
        <w:t>The Guarantor is a wholly owned subsidiary of the Company and has duly authorized the execution and delivery of this Guarantee to provide for the guarantee by the Guarantor for the benefit of the Holders of the Company’s 4.111% Senior Notes due 2028 (the “</w:t>
      </w:r>
      <w:r>
        <w:rPr>
          <w:rFonts w:ascii="Times New Roman" w:cs="Times New Roman" w:eastAsia="Times New Roman" w:hAnsi="Times New Roman"/>
          <w:sz w:val="16"/>
          <w:szCs w:val="16"/>
          <w:u w:val="single" w:color="auto"/>
          <w:color w:val="auto"/>
        </w:rPr>
        <w:t>Senior Notes</w:t>
      </w:r>
      <w:r>
        <w:rPr>
          <w:rFonts w:ascii="Times New Roman" w:cs="Times New Roman" w:eastAsia="Times New Roman" w:hAnsi="Times New Roman"/>
          <w:sz w:val="16"/>
          <w:szCs w:val="16"/>
          <w:color w:val="auto"/>
        </w:rPr>
        <w:t>”) issued pursuant to the Indenture.</w:t>
      </w:r>
    </w:p>
    <w:p>
      <w:pPr>
        <w:spacing w:after="0" w:line="164"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For and in consideration of the premises and the purchase of the Senior Notes by the Holders thereof, it is mutually agreed, for the equal and proportionate benefit of all Holders of the Senior Notes,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7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REPRESENTATIONS AND WARRANTIES OF GUARANTOR</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1.1</w:t>
      </w:r>
      <w:r>
        <w:rPr>
          <w:sz w:val="20"/>
          <w:szCs w:val="20"/>
          <w:color w:val="auto"/>
        </w:rPr>
        <w:tab/>
      </w:r>
      <w:r>
        <w:rPr>
          <w:rFonts w:ascii="Times New Roman" w:cs="Times New Roman" w:eastAsia="Times New Roman" w:hAnsi="Times New Roman"/>
          <w:sz w:val="14"/>
          <w:szCs w:val="14"/>
          <w:u w:val="single" w:color="auto"/>
          <w:color w:val="auto"/>
        </w:rPr>
        <w:t>Guarantor Representations and Warranties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80" w:firstLine="576"/>
        <w:spacing w:after="0" w:line="237" w:lineRule="auto"/>
        <w:rPr>
          <w:sz w:val="20"/>
          <w:szCs w:val="20"/>
          <w:color w:val="auto"/>
        </w:rPr>
      </w:pPr>
      <w:r>
        <w:rPr>
          <w:rFonts w:ascii="Times New Roman" w:cs="Times New Roman" w:eastAsia="Times New Roman" w:hAnsi="Times New Roman"/>
          <w:sz w:val="16"/>
          <w:szCs w:val="16"/>
          <w:color w:val="auto"/>
        </w:rPr>
        <w:t>The Guarantor does hereby represent and warrant that it is a corporation duly incorporated and in good standing under the laws of the State of Iowa, has the power to enter into and perform this Guarantee and to own its corporate property and assets, has duly authorized the execution and delivery of this Guarantee by proper corporate action and neither this Guarantee, the authorization, execution, delivery and performance hereof, the performance of the agreements herein contained nor the consummation of the transactions herein contemplated will violate in any material respect any provision of law, any order of any court or agency of government or any agreement, indenture or other instrument to which the Guarantor is a party or by which it or its property is bound, or in any material respect be in conflict with or result in a breach of or constitute a default under any indenture, agreement or other instrument or any provision of its certificate of incorporation, bylaws or any requirement of law. This Guarantee constitutes the legal, valid and binding obligation of the Guarantor enforceable against the Guarantor in accordance with its terms, except as the enforceability hereof may be limited by applicable bankruptcy, insolvency, reorganization, moratorium or similar laws affecting the rights of creditors generally and by general equitable principles.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735" w:right="1280" w:bottom="1440" w:gutter="0" w:footer="0" w:header="0"/>
        </w:sectPr>
      </w:pPr>
    </w:p>
    <w:bookmarkStart w:id="176" w:name="page177"/>
    <w:bookmarkEnd w:id="17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GUARANTEE OF OBLIGATIONS</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2.1</w:t>
      </w:r>
      <w:r>
        <w:rPr>
          <w:sz w:val="20"/>
          <w:szCs w:val="20"/>
          <w:color w:val="auto"/>
        </w:rPr>
        <w:tab/>
      </w:r>
      <w:r>
        <w:rPr>
          <w:rFonts w:ascii="Times New Roman" w:cs="Times New Roman" w:eastAsia="Times New Roman" w:hAnsi="Times New Roman"/>
          <w:sz w:val="14"/>
          <w:szCs w:val="14"/>
          <w:u w:val="single" w:color="auto"/>
          <w:color w:val="auto"/>
        </w:rPr>
        <w:t>Obligations Guaranteed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37" w:lineRule="auto"/>
        <w:rPr>
          <w:sz w:val="20"/>
          <w:szCs w:val="20"/>
          <w:color w:val="auto"/>
        </w:rPr>
      </w:pPr>
      <w:r>
        <w:rPr>
          <w:rFonts w:ascii="Times New Roman" w:cs="Times New Roman" w:eastAsia="Times New Roman" w:hAnsi="Times New Roman"/>
          <w:sz w:val="16"/>
          <w:szCs w:val="16"/>
          <w:color w:val="auto"/>
        </w:rPr>
        <w:t>Subject to the provisions of this Article II, the Guarantor hereby fully, unconditionally and irrevocably guarantees (a) to each Holder of a Senior Note authenticated and delivered by the Trustee or Authenticating Agent, (i) the full and prompt payment of the principal of, and premium, if any, and interest on, and any Redemption Price with respect to, such Senior Note, when, where and as the same shall become due and payable, whether at the stated maturity thereof, by acceleration, call for redemption or otherwise in accordance with the terms of such Senior Note and the Indenture and (ii) the full and prompt payment of interest on the overdue principal and interest, if any, on such Senior Note, at the rate specified in such Senior Note and to the extent lawful and (b) to the Trustee the full and prompt payment upon written demand therefor of all amounts due to it in accordance with the terms of the Indenture (collectively, the “</w:t>
      </w:r>
      <w:r>
        <w:rPr>
          <w:rFonts w:ascii="Times New Roman" w:cs="Times New Roman" w:eastAsia="Times New Roman" w:hAnsi="Times New Roman"/>
          <w:sz w:val="16"/>
          <w:szCs w:val="16"/>
          <w:u w:val="single" w:color="auto"/>
          <w:color w:val="auto"/>
        </w:rPr>
        <w:t>Guaranteed Obligation</w:t>
      </w:r>
      <w:r>
        <w:rPr>
          <w:rFonts w:ascii="Times New Roman" w:cs="Times New Roman" w:eastAsia="Times New Roman" w:hAnsi="Times New Roman"/>
          <w:sz w:val="16"/>
          <w:szCs w:val="16"/>
          <w:color w:val="auto"/>
        </w:rPr>
        <w:t>”). If for any reason the Company shall fail punctually to pay any such Guaranteed Obligation, the Guarantor hereby agrees to cause any such Guaranteed Obligation to be made punctually when, where and as the same shall become due and payable, whether at the stated maturity thereof, by acceleration, call for redemption or otherwise. All payments by the Guarantor hereunder shall be paid in lawful money of the United States of America. This Guarantee is unsecured and ranks equally in right of payment with all of the Guarantor’s existing and future senior indebtedness.</w:t>
      </w:r>
    </w:p>
    <w:p>
      <w:pPr>
        <w:spacing w:after="0" w:line="17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2.2</w:t>
      </w:r>
      <w:r>
        <w:rPr>
          <w:sz w:val="20"/>
          <w:szCs w:val="20"/>
          <w:color w:val="auto"/>
        </w:rPr>
        <w:tab/>
      </w:r>
      <w:r>
        <w:rPr>
          <w:rFonts w:ascii="Times New Roman" w:cs="Times New Roman" w:eastAsia="Times New Roman" w:hAnsi="Times New Roman"/>
          <w:sz w:val="14"/>
          <w:szCs w:val="14"/>
          <w:u w:val="single" w:color="auto"/>
          <w:color w:val="auto"/>
        </w:rPr>
        <w:t>Obligations Unconditional</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The obligations of the Guarantor under this Guarantee shall be absolute, unconditional and irrevocable and shall constitute a continuing guarantee of payment and not of collectability. Such obligations shall remain in full force and effect until this Guarantee shall terminate in accordance with the provisions of Section 5.1 hereof, and, to the maximum extent permitted by applicable law, such obligations shall not be affected, modified, released or impaired by any state of facts or the happening from time to time of any event, including, without limitation, any of the following, whether or not with notice to, or the consent of, the Guarantor:</w:t>
      </w:r>
    </w:p>
    <w:p>
      <w:pPr>
        <w:spacing w:after="0" w:line="169" w:lineRule="exact"/>
        <w:rPr>
          <w:sz w:val="20"/>
          <w:szCs w:val="20"/>
          <w:color w:val="auto"/>
        </w:rPr>
      </w:pPr>
    </w:p>
    <w:p>
      <w:pPr>
        <w:ind w:right="600" w:firstLine="574"/>
        <w:spacing w:after="0" w:line="259" w:lineRule="auto"/>
        <w:tabs>
          <w:tab w:leader="none" w:pos="115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waiver, compromise, settlement, release or termination of any or all of the obligations, covenants or agreements of the Company contained in the Senior Notes or the Indenture, or of the payment, performance or observance thereof;</w:t>
      </w:r>
    </w:p>
    <w:p>
      <w:pPr>
        <w:spacing w:after="0" w:line="155" w:lineRule="exact"/>
        <w:rPr>
          <w:rFonts w:ascii="Times New Roman" w:cs="Times New Roman" w:eastAsia="Times New Roman" w:hAnsi="Times New Roman"/>
          <w:sz w:val="16"/>
          <w:szCs w:val="16"/>
          <w:color w:val="auto"/>
        </w:rPr>
      </w:pPr>
    </w:p>
    <w:p>
      <w:pPr>
        <w:ind w:right="40" w:firstLine="574"/>
        <w:spacing w:after="0" w:line="259" w:lineRule="auto"/>
        <w:tabs>
          <w:tab w:leader="none" w:pos="115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give notice to the Guarantor of the occurrence of any default or an Event of Default under the terms and provisions of the Senior Notes or the Indenture;</w:t>
      </w:r>
    </w:p>
    <w:p>
      <w:pPr>
        <w:spacing w:after="0" w:line="155"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or purported assignment of any of the obligations, covenants and agreements contained in this Guarantee;</w:t>
      </w:r>
    </w:p>
    <w:p>
      <w:pPr>
        <w:spacing w:after="0" w:line="188" w:lineRule="exact"/>
        <w:rPr>
          <w:rFonts w:ascii="Times New Roman" w:cs="Times New Roman" w:eastAsia="Times New Roman" w:hAnsi="Times New Roman"/>
          <w:sz w:val="16"/>
          <w:szCs w:val="16"/>
          <w:color w:val="auto"/>
        </w:rPr>
      </w:pPr>
    </w:p>
    <w:p>
      <w:pPr>
        <w:jc w:val="both"/>
        <w:ind w:right="60" w:firstLine="574"/>
        <w:spacing w:after="0" w:line="247" w:lineRule="auto"/>
        <w:tabs>
          <w:tab w:leader="none" w:pos="115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extension of the time for payment of any principal of, premium, if any, or interest on, or any Redemption Price with respect to, the Senior Notes or of the time for performance of any obligations, covenants or agreements under or arising out of the Senior Notes or the Indenture or the extension or the renewal of any thereof;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5" w:right="1260" w:bottom="1440" w:gutter="0" w:footer="0" w:header="0"/>
        </w:sectPr>
      </w:pPr>
    </w:p>
    <w:bookmarkStart w:id="177" w:name="page178"/>
    <w:bookmarkEnd w:id="177"/>
    <w:p>
      <w:pPr>
        <w:ind w:right="180" w:firstLine="574"/>
        <w:spacing w:after="0" w:line="259" w:lineRule="auto"/>
        <w:tabs>
          <w:tab w:leader="none" w:pos="115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modification or amendment (whether material or otherwise) of any obligation, covenant or agreement set forth in the Senior Notes or the Indenture;</w:t>
      </w:r>
    </w:p>
    <w:p>
      <w:pPr>
        <w:spacing w:after="0" w:line="155"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taking or the omission to take any of the actions referred to in this Guarantee or in the Indenture;</w:t>
      </w:r>
    </w:p>
    <w:p>
      <w:pPr>
        <w:spacing w:after="0" w:line="188" w:lineRule="exact"/>
        <w:rPr>
          <w:rFonts w:ascii="Times New Roman" w:cs="Times New Roman" w:eastAsia="Times New Roman" w:hAnsi="Times New Roman"/>
          <w:sz w:val="16"/>
          <w:szCs w:val="16"/>
          <w:color w:val="auto"/>
        </w:rPr>
      </w:pPr>
    </w:p>
    <w:p>
      <w:pPr>
        <w:jc w:val="both"/>
        <w:ind w:right="20" w:firstLine="574"/>
        <w:spacing w:after="0" w:line="331" w:lineRule="auto"/>
        <w:tabs>
          <w:tab w:leader="none" w:pos="115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omission or delay on the part of, or the inability of, the Trustee or the Holders of the Senior Notes to enforce, assert or exercise any right, power or remedy conferred on the Trustee, such Holders or any other person in this Guarantee or in the Indenture for any reason;</w:t>
      </w:r>
    </w:p>
    <w:p>
      <w:pPr>
        <w:spacing w:after="0" w:line="108" w:lineRule="exact"/>
        <w:rPr>
          <w:rFonts w:ascii="Times New Roman" w:cs="Times New Roman" w:eastAsia="Times New Roman" w:hAnsi="Times New Roman"/>
          <w:sz w:val="14"/>
          <w:szCs w:val="14"/>
          <w:color w:val="auto"/>
        </w:rPr>
      </w:pPr>
    </w:p>
    <w:p>
      <w:pPr>
        <w:ind w:firstLine="574"/>
        <w:spacing w:after="0" w:line="238" w:lineRule="auto"/>
        <w:tabs>
          <w:tab w:leader="none" w:pos="115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voluntary or involuntary liquidation, dissolution, merger, consolidation, sale or other disposition of all or substantially all the assets, marshaling of assets and liabilities, receivership, insolvency, bankruptcy, assignment for the benefit of creditors, reorganization, arrangement, composition with creditors or readjustment of, or other similar proceedings affecting the Company or any or all of its assets, or any allegation or contest of the validity of the Senior Notes or the Indenture or the disaffirmance of the Senior Notes or the Indenture in any such proceeding; it being specifically understood, consented and agreed to that this Guarantee shall remain and continue in full force and effect and shall be enforceable against the Guarantor to the same extent and with the same force and effect as if such proceedings had not been instituted, and it is the intent and purpose of this Guarantee that the Guarantor shall and does hereby waive, to the maximum extent permitted by applicable law, all rights and benefits which might accrue to the Guarantor by reason of any such proceedings;</w:t>
      </w:r>
    </w:p>
    <w:p>
      <w:pPr>
        <w:spacing w:after="0" w:line="172" w:lineRule="exact"/>
        <w:rPr>
          <w:rFonts w:ascii="Times New Roman" w:cs="Times New Roman" w:eastAsia="Times New Roman" w:hAnsi="Times New Roman"/>
          <w:sz w:val="16"/>
          <w:szCs w:val="16"/>
          <w:color w:val="auto"/>
        </w:rPr>
      </w:pPr>
    </w:p>
    <w:p>
      <w:pPr>
        <w:ind w:right="20" w:firstLine="574"/>
        <w:spacing w:after="0" w:line="259" w:lineRule="auto"/>
        <w:tabs>
          <w:tab w:leader="none" w:pos="115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or action that would, in the absence of this clause, result in the release or discharge by operation of law of the Guarantor from the performance or observance of any obligation, covenant or agreement contained in this Guarantee;</w:t>
      </w:r>
    </w:p>
    <w:p>
      <w:pPr>
        <w:spacing w:after="0" w:line="155"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default or failure of the Guarantor fully to perform any of its obligations set forth in this Guarantee;</w:t>
      </w:r>
    </w:p>
    <w:p>
      <w:pPr>
        <w:spacing w:after="0" w:line="188"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substitution or replacement of any security pledged for the benefit of the Holders of the Senior Notes under the</w:t>
      </w:r>
    </w:p>
    <w:p>
      <w:pPr>
        <w:spacing w:after="0" w:line="1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w:t>
      </w:r>
    </w:p>
    <w:p>
      <w:pPr>
        <w:spacing w:after="0" w:line="170" w:lineRule="exact"/>
        <w:rPr>
          <w:rFonts w:ascii="Times New Roman" w:cs="Times New Roman" w:eastAsia="Times New Roman" w:hAnsi="Times New Roman"/>
          <w:sz w:val="16"/>
          <w:szCs w:val="16"/>
          <w:color w:val="auto"/>
        </w:rPr>
      </w:pPr>
    </w:p>
    <w:p>
      <w:pPr>
        <w:ind w:right="200" w:firstLine="574"/>
        <w:spacing w:after="0" w:line="259" w:lineRule="auto"/>
        <w:tabs>
          <w:tab w:leader="none" w:pos="115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disposition by the Company of any or all of its interest in any capital stock of the Guarantor, or any change, restructuring or termination of the corporate structure, ownership, corporate existence or any rights or franchises of the Guarantor;</w:t>
      </w:r>
    </w:p>
    <w:p>
      <w:pPr>
        <w:spacing w:after="0" w:line="155"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circumstances which might otherwise constitute a legal or equitable discharge or defense of a surety or a guarantor; or</w:t>
      </w:r>
    </w:p>
    <w:p>
      <w:pPr>
        <w:spacing w:after="0" w:line="211" w:lineRule="exact"/>
        <w:rPr>
          <w:rFonts w:ascii="Times New Roman" w:cs="Times New Roman" w:eastAsia="Times New Roman" w:hAnsi="Times New Roman"/>
          <w:sz w:val="14"/>
          <w:szCs w:val="14"/>
          <w:color w:val="auto"/>
        </w:rPr>
      </w:pPr>
    </w:p>
    <w:p>
      <w:pPr>
        <w:ind w:left="1160" w:hanging="586"/>
        <w:spacing w:after="0"/>
        <w:tabs>
          <w:tab w:leader="none" w:pos="11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occurrence whatsoever, whether similar or dissimilar to the foregoing.</w:t>
      </w:r>
    </w:p>
    <w:p>
      <w:pPr>
        <w:spacing w:after="0" w:line="188"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2.3</w:t>
      </w:r>
      <w:r>
        <w:rPr>
          <w:sz w:val="20"/>
          <w:szCs w:val="20"/>
          <w:color w:val="auto"/>
        </w:rPr>
        <w:tab/>
      </w:r>
      <w:r>
        <w:rPr>
          <w:rFonts w:ascii="Times New Roman" w:cs="Times New Roman" w:eastAsia="Times New Roman" w:hAnsi="Times New Roman"/>
          <w:sz w:val="14"/>
          <w:szCs w:val="14"/>
          <w:u w:val="single" w:color="auto"/>
          <w:color w:val="auto"/>
        </w:rPr>
        <w:t>No Waiver or Set-Off</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The Guarantor agrees that, to the maximum extent permitted by law, (a) no act of commission or omission of any kind or at any time on the part of the Trustee or any Holder of the Senior Notes, or their successors and assigns, in respect of any matter whatsoever shall in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737" w:right="1320" w:bottom="1440" w:gutter="0" w:footer="0" w:header="0"/>
        </w:sectPr>
      </w:pPr>
    </w:p>
    <w:bookmarkStart w:id="178" w:name="page179"/>
    <w:bookmarkEnd w:id="178"/>
    <w:p>
      <w:pPr>
        <w:ind w:right="100"/>
        <w:spacing w:after="0" w:line="299" w:lineRule="auto"/>
        <w:rPr>
          <w:sz w:val="20"/>
          <w:szCs w:val="20"/>
          <w:color w:val="auto"/>
        </w:rPr>
      </w:pPr>
      <w:r>
        <w:rPr>
          <w:rFonts w:ascii="Times New Roman" w:cs="Times New Roman" w:eastAsia="Times New Roman" w:hAnsi="Times New Roman"/>
          <w:sz w:val="14"/>
          <w:szCs w:val="14"/>
          <w:color w:val="auto"/>
        </w:rPr>
        <w:t>way impair the rights of the Trustee or such Holders to enforce any right, power or benefit under this Guarantee, and (b) no set- off, counterclaim, reduction, or diminution of any obligation, or any defense of any kind or nature (other than performance), which the Guarantor or the Company has or may have against the Trustee or such Holders or any assignee or successor thereof shall be available hereunder to the Guarantor.</w:t>
      </w:r>
    </w:p>
    <w:p>
      <w:pPr>
        <w:spacing w:after="0" w:line="131"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2.4</w:t>
      </w:r>
      <w:r>
        <w:rPr>
          <w:sz w:val="20"/>
          <w:szCs w:val="20"/>
          <w:color w:val="auto"/>
        </w:rPr>
        <w:tab/>
      </w:r>
      <w:r>
        <w:rPr>
          <w:rFonts w:ascii="Times New Roman" w:cs="Times New Roman" w:eastAsia="Times New Roman" w:hAnsi="Times New Roman"/>
          <w:sz w:val="14"/>
          <w:szCs w:val="14"/>
          <w:u w:val="single" w:color="auto"/>
          <w:color w:val="auto"/>
        </w:rPr>
        <w:t>Waiver of Notice; Expenses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38" w:lineRule="auto"/>
        <w:rPr>
          <w:sz w:val="20"/>
          <w:szCs w:val="20"/>
          <w:color w:val="auto"/>
        </w:rPr>
      </w:pPr>
      <w:r>
        <w:rPr>
          <w:rFonts w:ascii="Times New Roman" w:cs="Times New Roman" w:eastAsia="Times New Roman" w:hAnsi="Times New Roman"/>
          <w:sz w:val="16"/>
          <w:szCs w:val="16"/>
          <w:color w:val="auto"/>
        </w:rPr>
        <w:t>The Guarantor hereby expressly waives notice from the Trustee or the Holders of the Senior Notes of their acceptance and reliance on this Guarantee. The Guarantor further waives, to the maximum extent permitted by law, any right that it may have (a) to require the Trustee or the Holders of the Senior Notes to take action or otherwise proceed against the Company, (b) to require the Trustee or the Holders of the Senior Notes to proceed against or exhaust any security pledged for the benefit of the Holders of the Senior Notes under the Indenture or (c) to require the Trustee or the Holders of the Senior Notes otherwise to enforce, assert or exercise any other right, power or remedy that may be available to the Trustee or such Holders. The Guarantor agrees to pay all costs, expenses and fees, including all reasonable attorneys’ fees and expenses, that may be incurred by the Trustee in enforcing or attempting to enforce this Guarantee or protecting the rights of the Trustee or the Holders of the Senior Notes following any default on the part of the Guarantor hereunder, whether the same shall be enforced by suit or otherwise.</w:t>
      </w:r>
    </w:p>
    <w:p>
      <w:pPr>
        <w:spacing w:after="0" w:line="173"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2.5</w:t>
      </w:r>
      <w:r>
        <w:rPr>
          <w:sz w:val="20"/>
          <w:szCs w:val="20"/>
          <w:color w:val="auto"/>
        </w:rPr>
        <w:tab/>
      </w:r>
      <w:r>
        <w:rPr>
          <w:rFonts w:ascii="Times New Roman" w:cs="Times New Roman" w:eastAsia="Times New Roman" w:hAnsi="Times New Roman"/>
          <w:sz w:val="14"/>
          <w:szCs w:val="14"/>
          <w:u w:val="single" w:color="auto"/>
          <w:color w:val="auto"/>
        </w:rPr>
        <w:t>Subrogation of Guarantor; Subordination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100" w:firstLine="576"/>
        <w:spacing w:after="0" w:line="241" w:lineRule="auto"/>
        <w:rPr>
          <w:sz w:val="20"/>
          <w:szCs w:val="20"/>
          <w:color w:val="auto"/>
        </w:rPr>
      </w:pPr>
      <w:r>
        <w:rPr>
          <w:rFonts w:ascii="Times New Roman" w:cs="Times New Roman" w:eastAsia="Times New Roman" w:hAnsi="Times New Roman"/>
          <w:sz w:val="16"/>
          <w:szCs w:val="16"/>
          <w:color w:val="auto"/>
        </w:rPr>
        <w:t>Notwithstanding any payment or payments made by the Guarantor, the Guarantor agrees that it will not enforce, by reason of subrogation, contribution, indemnity or otherwise, any rights the Trustee or the Holders of the Senior Notes may have against the Company until all of the Guaranteed Obligations shall have been finally, indefeasibly and unconditionally paid in full. Any claim of the Guarantor against the Company arising from payments made by the Guarantor by reason of this Guarantee shall be in all respects subordinated to the final, indefeasible, unconditional, full and complete payment or discharge of all of the Guaranteed Obligations guaranteed hereby.</w:t>
      </w:r>
    </w:p>
    <w:p>
      <w:pPr>
        <w:spacing w:after="0" w:line="16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2.6</w:t>
      </w:r>
      <w:r>
        <w:rPr>
          <w:sz w:val="20"/>
          <w:szCs w:val="20"/>
          <w:color w:val="auto"/>
        </w:rPr>
        <w:tab/>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This Guarantee shall continue to be effective, or be automatically reinstated, as the case may be, if at any time payment, or any part thereof, made by or on behalf of the Company or the Guarantor in respect of any of the Senior Notes is rescinded or must otherwise be restored or returned by the Trustee or any Holder of such Senior Notes for any reason whatsoever, whether upon the insolvency, bankruptcy, dissolution, liquidation or reorganization of the Company, or upon or as a result of the appointment of a receiver, intervenor or conservator of, or trustee or similar officer for the Company or any substantial part of its properties, or otherwise, all as though such payment had not been made.</w:t>
      </w:r>
    </w:p>
    <w:p>
      <w:pPr>
        <w:spacing w:after="0" w:line="16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2.7</w:t>
      </w:r>
      <w:r>
        <w:rPr>
          <w:sz w:val="20"/>
          <w:szCs w:val="20"/>
          <w:color w:val="auto"/>
        </w:rPr>
        <w:tab/>
      </w:r>
      <w:r>
        <w:rPr>
          <w:rFonts w:ascii="Times New Roman" w:cs="Times New Roman" w:eastAsia="Times New Roman" w:hAnsi="Times New Roman"/>
          <w:sz w:val="14"/>
          <w:szCs w:val="14"/>
          <w:u w:val="single" w:color="auto"/>
          <w:color w:val="auto"/>
        </w:rPr>
        <w:t>Rights of Holders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The Guarantor expressly acknowledges that the Trustee has the right to enforce this Guarantee on behalf of the Holders of the Senior Notes, including the Trust, in accordance with and subject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737" w:right="132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7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COVENANTS OF THE GUARANTOR</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3.1</w:t>
      </w:r>
      <w:r>
        <w:rPr>
          <w:sz w:val="20"/>
          <w:szCs w:val="20"/>
          <w:color w:val="auto"/>
        </w:rPr>
        <w:tab/>
      </w:r>
      <w:r>
        <w:rPr>
          <w:rFonts w:ascii="Times New Roman" w:cs="Times New Roman" w:eastAsia="Times New Roman" w:hAnsi="Times New Roman"/>
          <w:sz w:val="14"/>
          <w:szCs w:val="14"/>
          <w:u w:val="single" w:color="auto"/>
          <w:color w:val="auto"/>
        </w:rPr>
        <w:t>Consolidation, Merger Conveyance, Transfer or Lease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60" w:firstLine="574"/>
        <w:spacing w:after="0" w:line="247" w:lineRule="auto"/>
        <w:tabs>
          <w:tab w:leader="none" w:pos="115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3.1(c), the Guarantor shall not consolidate with or merge with or into any other Person or convey, transfer or lease its assets substantially as an entirety to any Person, and the Guarantor shall not permit any Person to consolidate with or merge with or into the Guarantor, unless:</w:t>
      </w:r>
    </w:p>
    <w:p>
      <w:pPr>
        <w:spacing w:after="0" w:line="164" w:lineRule="exact"/>
        <w:rPr>
          <w:rFonts w:ascii="Times New Roman" w:cs="Times New Roman" w:eastAsia="Times New Roman" w:hAnsi="Times New Roman"/>
          <w:sz w:val="16"/>
          <w:szCs w:val="16"/>
          <w:color w:val="auto"/>
        </w:rPr>
      </w:pPr>
    </w:p>
    <w:p>
      <w:pPr>
        <w:ind w:left="580" w:firstLine="571"/>
        <w:spacing w:after="0" w:line="239" w:lineRule="auto"/>
        <w:tabs>
          <w:tab w:leader="none" w:pos="173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or the Company is the surviving corporation in a merger or consolidation, or in case the Guarantor shall transfer or lease its assets substantially as an entirety to any Person, the Person which acquires by conveyance or transfer, or which leases, the assets of the Guarantor substantially as an entirety shall be a corporation, partnership, trust or limited liability company, organized and validly existing under the laws of the United States of America, any State thereof or the District of Columbia and shall expressly assume, by a supplemental agreement hereto, executed and delivered to the Trustee, all of the obligations of the Guarantor under the Indenture and this Guarantee; and</w:t>
      </w:r>
    </w:p>
    <w:p>
      <w:pPr>
        <w:spacing w:after="0" w:line="173" w:lineRule="exact"/>
        <w:rPr>
          <w:rFonts w:ascii="Times New Roman" w:cs="Times New Roman" w:eastAsia="Times New Roman" w:hAnsi="Times New Roman"/>
          <w:sz w:val="16"/>
          <w:szCs w:val="16"/>
          <w:color w:val="auto"/>
        </w:rPr>
      </w:pPr>
    </w:p>
    <w:p>
      <w:pPr>
        <w:ind w:left="580" w:right="40" w:firstLine="571"/>
        <w:spacing w:after="0" w:line="259" w:lineRule="auto"/>
        <w:tabs>
          <w:tab w:leader="none" w:pos="173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transaction, no Event of Default, and no event which, after notice or lapse of time or both, would become an Event of Default, shall have happened and be continuing; and</w:t>
      </w:r>
    </w:p>
    <w:p>
      <w:pPr>
        <w:spacing w:after="0" w:line="155" w:lineRule="exact"/>
        <w:rPr>
          <w:rFonts w:ascii="Times New Roman" w:cs="Times New Roman" w:eastAsia="Times New Roman" w:hAnsi="Times New Roman"/>
          <w:sz w:val="16"/>
          <w:szCs w:val="16"/>
          <w:color w:val="auto"/>
        </w:rPr>
      </w:pPr>
    </w:p>
    <w:p>
      <w:pPr>
        <w:ind w:left="580" w:right="40" w:firstLine="571"/>
        <w:spacing w:after="0" w:line="243" w:lineRule="auto"/>
        <w:tabs>
          <w:tab w:leader="none" w:pos="173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has delivered to the Trustee an Officers’ Certificate and an Opinion of Counsel, each stating that such consolidation, merger, conveyance, transfer or lease and, if a supplemental agreement is required in connection with such transaction, such supplemental agreement comply with this Section 3.1 and that all conditions precedent herein provided for relating to such transaction have been complied with.</w:t>
      </w:r>
    </w:p>
    <w:p>
      <w:pPr>
        <w:spacing w:after="0" w:line="167" w:lineRule="exact"/>
        <w:rPr>
          <w:rFonts w:ascii="Times New Roman" w:cs="Times New Roman" w:eastAsia="Times New Roman" w:hAnsi="Times New Roman"/>
          <w:sz w:val="16"/>
          <w:szCs w:val="16"/>
          <w:color w:val="auto"/>
        </w:rPr>
      </w:pPr>
    </w:p>
    <w:p>
      <w:pPr>
        <w:ind w:right="120" w:firstLine="574"/>
        <w:spacing w:after="0" w:line="259" w:lineRule="auto"/>
        <w:tabs>
          <w:tab w:leader="none" w:pos="115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3.1(c), any indebtedness which becomes an obligation of the Guarantor or any of its Subsidiaries as a result of any such transaction shall be treated as having been incurred by the Guarantor or such Subsidiary at the time of such transaction.</w:t>
      </w:r>
    </w:p>
    <w:p>
      <w:pPr>
        <w:spacing w:after="0" w:line="155" w:lineRule="exact"/>
        <w:rPr>
          <w:rFonts w:ascii="Times New Roman" w:cs="Times New Roman" w:eastAsia="Times New Roman" w:hAnsi="Times New Roman"/>
          <w:sz w:val="16"/>
          <w:szCs w:val="16"/>
          <w:color w:val="auto"/>
        </w:rPr>
      </w:pPr>
    </w:p>
    <w:p>
      <w:pPr>
        <w:ind w:left="1160" w:hanging="586"/>
        <w:spacing w:after="0"/>
        <w:tabs>
          <w:tab w:leader="none" w:pos="11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Section 3.1(a) and (b) shall not be applicable to:</w:t>
      </w:r>
    </w:p>
    <w:p>
      <w:pPr>
        <w:spacing w:after="0" w:line="188" w:lineRule="exact"/>
        <w:rPr>
          <w:rFonts w:ascii="Times New Roman" w:cs="Times New Roman" w:eastAsia="Times New Roman" w:hAnsi="Times New Roman"/>
          <w:sz w:val="16"/>
          <w:szCs w:val="16"/>
          <w:color w:val="auto"/>
        </w:rPr>
      </w:pPr>
    </w:p>
    <w:p>
      <w:pPr>
        <w:jc w:val="both"/>
        <w:ind w:left="580" w:right="300" w:firstLine="571"/>
        <w:spacing w:after="0" w:line="331" w:lineRule="auto"/>
        <w:tabs>
          <w:tab w:leader="none" w:pos="173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or indirect conveyance, transfer or lease of all or any portion of the stock, assets or liabilities of any of the Guarantor’s wholly owned Subsidiaries to the Guarantor or to the Company or to other wholly owned Subsidiaries of the Guarantor; or</w:t>
      </w:r>
    </w:p>
    <w:p>
      <w:pPr>
        <w:spacing w:after="0" w:line="108" w:lineRule="exact"/>
        <w:rPr>
          <w:rFonts w:ascii="Times New Roman" w:cs="Times New Roman" w:eastAsia="Times New Roman" w:hAnsi="Times New Roman"/>
          <w:sz w:val="14"/>
          <w:szCs w:val="14"/>
          <w:color w:val="auto"/>
        </w:rPr>
      </w:pPr>
    </w:p>
    <w:p>
      <w:pPr>
        <w:ind w:left="580" w:right="140" w:firstLine="571"/>
        <w:spacing w:after="0" w:line="247" w:lineRule="auto"/>
        <w:tabs>
          <w:tab w:leader="none" w:pos="173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transaction, a change of control of the Guarantor or a highly leveraged transaction unless such transaction or change of control is structured to include a merger or consolidation by the Guarantor or the conveyance, transfer or lease of the Guarantor’s assets substantially as an entirety.</w:t>
      </w:r>
    </w:p>
    <w:p>
      <w:pPr>
        <w:spacing w:after="0" w:line="164" w:lineRule="exact"/>
        <w:rPr>
          <w:rFonts w:ascii="Times New Roman" w:cs="Times New Roman" w:eastAsia="Times New Roman" w:hAnsi="Times New Roman"/>
          <w:sz w:val="16"/>
          <w:szCs w:val="16"/>
          <w:color w:val="auto"/>
        </w:rPr>
      </w:pPr>
    </w:p>
    <w:p>
      <w:pPr>
        <w:ind w:right="200" w:firstLine="574"/>
        <w:spacing w:after="0" w:line="259" w:lineRule="auto"/>
        <w:tabs>
          <w:tab w:leader="none" w:pos="115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consolidation of the Guarantor with, or merger of the Guarantor into, the Company, this Guarantee shall terminate on the effective date of such consolidation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735" w:right="1300" w:bottom="1440" w:gutter="0" w:footer="0" w:header="0"/>
        </w:sectPr>
      </w:pPr>
    </w:p>
    <w:bookmarkStart w:id="180" w:name="page181"/>
    <w:bookmarkEnd w:id="180"/>
    <w:p>
      <w:pPr>
        <w:ind w:right="80"/>
        <w:spacing w:after="0" w:line="243" w:lineRule="auto"/>
        <w:rPr>
          <w:sz w:val="20"/>
          <w:szCs w:val="20"/>
          <w:color w:val="auto"/>
        </w:rPr>
      </w:pPr>
      <w:r>
        <w:rPr>
          <w:rFonts w:ascii="Times New Roman" w:cs="Times New Roman" w:eastAsia="Times New Roman" w:hAnsi="Times New Roman"/>
          <w:sz w:val="16"/>
          <w:szCs w:val="16"/>
          <w:color w:val="auto"/>
        </w:rPr>
        <w:t xml:space="preserve">merger. Upon any conveyance, transfer or lease of the assets of the Guarantor substantially as an entirety in accordance with this Section 3.1, the successor Person to which such conveyance, transfer or lease is made shall succeed to, and may exercise every right and power of, the Guarantor under this Guarantee with the same effect as if such successor Person had been named as the Guarantor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Guarantor shall not be relieved of its obligations and covenants under this Guarantee.</w:t>
      </w:r>
    </w:p>
    <w:p>
      <w:pPr>
        <w:spacing w:after="0" w:line="167" w:lineRule="exact"/>
        <w:rPr>
          <w:sz w:val="20"/>
          <w:szCs w:val="20"/>
          <w:color w:val="auto"/>
        </w:rPr>
      </w:pPr>
    </w:p>
    <w:p>
      <w:pPr>
        <w:ind w:right="340" w:firstLine="576"/>
        <w:spacing w:after="0" w:line="259" w:lineRule="auto"/>
        <w:rPr>
          <w:sz w:val="20"/>
          <w:szCs w:val="20"/>
          <w:color w:val="auto"/>
        </w:rPr>
      </w:pPr>
      <w:r>
        <w:rPr>
          <w:rFonts w:ascii="Times New Roman" w:cs="Times New Roman" w:eastAsia="Times New Roman" w:hAnsi="Times New Roman"/>
          <w:sz w:val="16"/>
          <w:szCs w:val="16"/>
          <w:color w:val="auto"/>
        </w:rPr>
        <w:t>In case of any such conveyance, transfer or lease, such changes in phraseology and form may be made in this Guarantee thereafter to be issued as may be appropriate.</w:t>
      </w:r>
    </w:p>
    <w:p>
      <w:pPr>
        <w:spacing w:after="0" w:line="155"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3.2</w:t>
      </w:r>
      <w:r>
        <w:rPr>
          <w:sz w:val="20"/>
          <w:szCs w:val="20"/>
          <w:color w:val="auto"/>
        </w:rPr>
        <w:tab/>
      </w:r>
      <w:r>
        <w:rPr>
          <w:rFonts w:ascii="Times New Roman" w:cs="Times New Roman" w:eastAsia="Times New Roman" w:hAnsi="Times New Roman"/>
          <w:sz w:val="14"/>
          <w:szCs w:val="14"/>
          <w:u w:val="single" w:color="auto"/>
          <w:color w:val="auto"/>
        </w:rPr>
        <w:t>Reports by the Guarantor</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the term hereof, the Guarantor covenants:</w:t>
      </w:r>
    </w:p>
    <w:p>
      <w:pPr>
        <w:spacing w:after="0" w:line="188" w:lineRule="exact"/>
        <w:rPr>
          <w:sz w:val="20"/>
          <w:szCs w:val="20"/>
          <w:color w:val="auto"/>
        </w:rPr>
      </w:pPr>
    </w:p>
    <w:p>
      <w:pPr>
        <w:ind w:right="100" w:firstLine="574"/>
        <w:spacing w:after="0" w:line="237" w:lineRule="auto"/>
        <w:tabs>
          <w:tab w:leader="none" w:pos="115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with the Trustee, within 30 days after the Guarantor is required to file the same with the Commission, copies of the annual reports and of the information, documents and other reports (or copies of such portions of any of the foregoing as the Commission may from time to time by rules and regulations prescribe) which the Guarantor may be required to file with the Commission pursuant to Section 13 or Section 15(d) of the Securities Exchange Act of 1934, as amended; or, if the Guarantor is not required to file information, documents or reports pursuant to either of such sections, then to file with the Trustee and the Commission, in accordance with rules and regulations prescribed from time to time by the Commission pursuant to Section 314(a) of the Trust Indenture Act, such of the supplementary and periodic information, documents and reports which may be required pursuant to Section 13 of the Securities Exchange Act of 1934, as amended, in respect of a security listed and registered on a national securities exchange as may be prescribed from time to time in such rules and regulations. All reports, information and documents described in this Section 3.2(a) and filed with the Commission pursuant to its Electronic Data Gathering, Analysis and Retrieval (EDGAR) system or any successor system shall be deemed to be filed with the Trustee;</w:t>
      </w:r>
    </w:p>
    <w:p>
      <w:pPr>
        <w:spacing w:after="0" w:line="175" w:lineRule="exact"/>
        <w:rPr>
          <w:rFonts w:ascii="Times New Roman" w:cs="Times New Roman" w:eastAsia="Times New Roman" w:hAnsi="Times New Roman"/>
          <w:sz w:val="16"/>
          <w:szCs w:val="16"/>
          <w:color w:val="auto"/>
        </w:rPr>
      </w:pPr>
    </w:p>
    <w:p>
      <w:pPr>
        <w:ind w:right="40" w:firstLine="574"/>
        <w:spacing w:after="0" w:line="243" w:lineRule="auto"/>
        <w:tabs>
          <w:tab w:leader="none" w:pos="115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with the Trustee and the Commission, in accordance with the rules and regulations prescribed from time to time by the Commission pursuant to Section 314(a) of the Trust Indenture Act, such additional information, documents and reports with respect to compliance by the Guarantor with the conditions and covenants provided for in this Guarantee and the Indenture, as may be required from time to time by such rules and regulations;</w:t>
      </w:r>
    </w:p>
    <w:p>
      <w:pPr>
        <w:spacing w:after="0" w:line="167" w:lineRule="exact"/>
        <w:rPr>
          <w:rFonts w:ascii="Times New Roman" w:cs="Times New Roman" w:eastAsia="Times New Roman" w:hAnsi="Times New Roman"/>
          <w:sz w:val="16"/>
          <w:szCs w:val="16"/>
          <w:color w:val="auto"/>
        </w:rPr>
      </w:pPr>
    </w:p>
    <w:p>
      <w:pPr>
        <w:ind w:firstLine="574"/>
        <w:spacing w:after="0" w:line="243" w:lineRule="auto"/>
        <w:tabs>
          <w:tab w:leader="none" w:pos="115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transmit to all Holders of the Senior Notes within 30 days after the filing thereof with the Trustee, in the manner and to the extent provided in Section 313(c) of the Trust Indenture Act, such summaries of any information, documents and reports required to be filed by the Guarantor pursuant to subsections (a) and (b) of this Section 3.2, as may be required by rules and regulations prescribed from time to time by the Commission pursuant to Section 314(a) of the Trust Indenture Act; and</w:t>
      </w:r>
    </w:p>
    <w:p>
      <w:pPr>
        <w:spacing w:after="0" w:line="167" w:lineRule="exact"/>
        <w:rPr>
          <w:rFonts w:ascii="Times New Roman" w:cs="Times New Roman" w:eastAsia="Times New Roman" w:hAnsi="Times New Roman"/>
          <w:sz w:val="16"/>
          <w:szCs w:val="16"/>
          <w:color w:val="auto"/>
        </w:rPr>
      </w:pPr>
    </w:p>
    <w:p>
      <w:pPr>
        <w:ind w:right="300" w:firstLine="574"/>
        <w:spacing w:after="0" w:line="247" w:lineRule="auto"/>
        <w:tabs>
          <w:tab w:leader="none" w:pos="115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deliver to the Trustee, within 120 days after the end of each fiscal year of the Guarantor, a brief certificate from the principal executive officer, principal financial officer, or principal accounting officer as to his or her knowledge of the Guarantor’s compliance with all conditions and covenants under this Guarantee. For purposes of this Section 3.2, such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0"/>
          </w:cols>
          <w:pgMar w:left="1280" w:top="737" w:right="12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color w:val="auto"/>
        </w:rPr>
        <w:t>compliance shall be determined without regard to any period of grace or requirement of notice provided under this Guarantee.</w:t>
      </w:r>
    </w:p>
    <w:p>
      <w:pPr>
        <w:spacing w:after="0" w:line="188"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4.1</w:t>
      </w:r>
      <w:r>
        <w:rPr>
          <w:sz w:val="20"/>
          <w:szCs w:val="20"/>
          <w:color w:val="auto"/>
        </w:rPr>
        <w:tab/>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All notices, certificates or other communications to the Guarantor hereunder shall be sufficient for every purpose hereunder if in writing and mailed, first-class postage prepaid, to the Guarantor addressed to it at Principal Financial Services, Inc. 711 High Street, Des Moines, Iowa 50392, Attention: General Counsel, or at any other address previously furnished in writing to the Trustee by the Guarantor.</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9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5.1</w:t>
      </w:r>
      <w:r>
        <w:rPr>
          <w:sz w:val="20"/>
          <w:szCs w:val="20"/>
          <w:color w:val="auto"/>
        </w:rPr>
        <w:tab/>
      </w:r>
      <w:r>
        <w:rPr>
          <w:rFonts w:ascii="Times New Roman" w:cs="Times New Roman" w:eastAsia="Times New Roman" w:hAnsi="Times New Roman"/>
          <w:sz w:val="14"/>
          <w:szCs w:val="14"/>
          <w:u w:val="single" w:color="auto"/>
          <w:color w:val="auto"/>
        </w:rPr>
        <w:t>Effective Date; Termination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The obligations of the Guarantor hereunder shall arise absolutely and unconditionally upon the date of the initial delivery of and</w:t>
      </w:r>
    </w:p>
    <w:p>
      <w:pPr>
        <w:spacing w:after="0" w:line="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authentication of the Senior Notes. Subject to Section 2.6, this Guarantee shall terminate on such date as the Indenture is discharged and satisfied.</w:t>
      </w:r>
    </w:p>
    <w:p>
      <w:pPr>
        <w:spacing w:after="0" w:line="193"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5.2</w:t>
      </w:r>
      <w:r>
        <w:rPr>
          <w:sz w:val="20"/>
          <w:szCs w:val="20"/>
          <w:color w:val="auto"/>
        </w:rPr>
        <w:tab/>
      </w:r>
      <w:r>
        <w:rPr>
          <w:rFonts w:ascii="Times New Roman" w:cs="Times New Roman" w:eastAsia="Times New Roman" w:hAnsi="Times New Roman"/>
          <w:sz w:val="14"/>
          <w:szCs w:val="14"/>
          <w:u w:val="single" w:color="auto"/>
          <w:color w:val="auto"/>
        </w:rPr>
        <w:t>Evidence of Compliance with Conditions Precedent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6"/>
          <w:szCs w:val="16"/>
          <w:color w:val="auto"/>
        </w:rPr>
        <w:t>The Guarantor shall provide the Trustee with such evidence of compliance with such conditions precedent, if any, provided for in this Guarantee that relate to the matters set forth in Section 314(c) of the Trust Indenture Act. Any certificate or opinion required to be given by an officer pursuant to Section 314(c)(1) may be given in the form of an Officers’ Certificate.</w:t>
      </w:r>
    </w:p>
    <w:p>
      <w:pPr>
        <w:spacing w:after="0" w:line="16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5.3</w:t>
      </w:r>
      <w:r>
        <w:rPr>
          <w:sz w:val="20"/>
          <w:szCs w:val="20"/>
          <w:color w:val="auto"/>
        </w:rPr>
        <w:tab/>
      </w:r>
      <w:r>
        <w:rPr>
          <w:rFonts w:ascii="Times New Roman" w:cs="Times New Roman" w:eastAsia="Times New Roman" w:hAnsi="Times New Roman"/>
          <w:sz w:val="14"/>
          <w:szCs w:val="14"/>
          <w:u w:val="single" w:color="auto"/>
          <w:color w:val="auto"/>
        </w:rPr>
        <w:t>Remedies Not Exclusive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39" w:lineRule="auto"/>
        <w:rPr>
          <w:sz w:val="20"/>
          <w:szCs w:val="20"/>
          <w:color w:val="auto"/>
        </w:rPr>
      </w:pPr>
      <w:r>
        <w:rPr>
          <w:rFonts w:ascii="Times New Roman" w:cs="Times New Roman" w:eastAsia="Times New Roman" w:hAnsi="Times New Roman"/>
          <w:sz w:val="16"/>
          <w:szCs w:val="16"/>
          <w:color w:val="auto"/>
        </w:rPr>
        <w:t>No remedy herein conferred upon or reserved to the Trustee or Holders of the Senior Notes is intended to be exclusive of any other available remedy or remedies, but, to the maximum extent permitted by law, each and every such remedy shall be cumulative and shall be in addition to every other remedy given under this Guarantee or now or hereafter existing at law or in equity. No delay or omission to exercise any right or power accruing upon any default, omission or failure of performance hereunder shall impair any such right or power or shall be construed to be a waiver thereof, but any such right or power may be exercised from time to time and as often as may be deemed expedient. In order to entitle the Trustee and Holders of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737" w:right="1260" w:bottom="1440" w:gutter="0" w:footer="0" w:header="0"/>
        </w:sectPr>
      </w:pPr>
    </w:p>
    <w:bookmarkStart w:id="182" w:name="page183"/>
    <w:bookmarkEnd w:id="182"/>
    <w:p>
      <w:pPr>
        <w:spacing w:after="0" w:line="241" w:lineRule="auto"/>
        <w:rPr>
          <w:sz w:val="20"/>
          <w:szCs w:val="20"/>
          <w:color w:val="auto"/>
        </w:rPr>
      </w:pPr>
      <w:r>
        <w:rPr>
          <w:rFonts w:ascii="Times New Roman" w:cs="Times New Roman" w:eastAsia="Times New Roman" w:hAnsi="Times New Roman"/>
          <w:sz w:val="16"/>
          <w:szCs w:val="16"/>
          <w:color w:val="auto"/>
        </w:rPr>
        <w:t>Senior Notes to exercise any remedy reserved to any of them in this Guarantee, to the maximum extent permitted by applicable law, it shall not be necessary to give any notice. In the event any provision contained in this Guarantee should be breached, and thereafter duly waived, such waiver shall be limited to the particular breach so waived and shall not be deemed to waive any other breach hereunder. To the maximum extent permitted by applicable law, no waiver, amendment, release or modification of this Guarantee shall be established by conduct, custom or course of dealing, but solely by an instrument in writing duly executed by the parties to this Guarantee and consistent with the terms of the Indenture.</w:t>
      </w:r>
    </w:p>
    <w:p>
      <w:pPr>
        <w:spacing w:after="0" w:line="16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5.4</w:t>
      </w:r>
      <w:r>
        <w:rPr>
          <w:sz w:val="20"/>
          <w:szCs w:val="20"/>
          <w:color w:val="auto"/>
        </w:rPr>
        <w:tab/>
      </w:r>
      <w:r>
        <w:rPr>
          <w:rFonts w:ascii="Times New Roman" w:cs="Times New Roman" w:eastAsia="Times New Roman" w:hAnsi="Times New Roman"/>
          <w:sz w:val="14"/>
          <w:szCs w:val="14"/>
          <w:u w:val="single" w:color="auto"/>
          <w:color w:val="auto"/>
        </w:rPr>
        <w:t>Limitation of Guarantor’s Liability</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Any term or provision of this Guarantee notwithstanding, the Guarantee shall not exceed the maximum amount that can be guaranteed by the Guarantor without rendering the Guarantee voidable under applicable law relating to fraudulent conveyance or fraudulent transfer or similar laws affecting the rights of creditors generally.</w:t>
      </w:r>
    </w:p>
    <w:p>
      <w:pPr>
        <w:spacing w:after="0" w:line="16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5.5</w:t>
      </w:r>
      <w:r>
        <w:rPr>
          <w:sz w:val="20"/>
          <w:szCs w:val="20"/>
          <w:color w:val="auto"/>
        </w:rPr>
        <w:tab/>
      </w:r>
      <w:r>
        <w:rPr>
          <w:rFonts w:ascii="Times New Roman" w:cs="Times New Roman" w:eastAsia="Times New Roman" w:hAnsi="Times New Roman"/>
          <w:sz w:val="14"/>
          <w:szCs w:val="14"/>
          <w:u w:val="single" w:color="auto"/>
          <w:color w:val="auto"/>
        </w:rPr>
        <w:t>Entire Agreement; Counterparts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6"/>
          <w:szCs w:val="16"/>
          <w:color w:val="auto"/>
        </w:rPr>
        <w:t>This Guarantee constitutes the entire agreement, and supersedes all prior agreements and understandings, both written and oral, between the parties with respect to the subject matter hereof and may be executed simultaneously in several counterparts, each of which shall be deemed an original, and all of which together shall constitute one and the same instrument.</w:t>
      </w:r>
    </w:p>
    <w:p>
      <w:pPr>
        <w:spacing w:after="0" w:line="16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5.6</w:t>
      </w:r>
      <w:r>
        <w:rPr>
          <w:sz w:val="20"/>
          <w:szCs w:val="20"/>
          <w:color w:val="auto"/>
        </w:rPr>
        <w:tab/>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20" w:firstLine="576"/>
        <w:spacing w:after="0" w:line="331" w:lineRule="auto"/>
        <w:rPr>
          <w:sz w:val="20"/>
          <w:szCs w:val="20"/>
          <w:color w:val="auto"/>
        </w:rPr>
      </w:pPr>
      <w:r>
        <w:rPr>
          <w:rFonts w:ascii="Times New Roman" w:cs="Times New Roman" w:eastAsia="Times New Roman" w:hAnsi="Times New Roman"/>
          <w:sz w:val="14"/>
          <w:szCs w:val="14"/>
          <w:color w:val="auto"/>
        </w:rPr>
        <w:t>To the maximum extent permitted by applicable law, the invalidity or unenforceability of any one or more phrases, sentences, clauses or sections contained in this Guarantee shall not affect the validity or enforceability of the remaining portions of this Guarantee, or any part thereof.</w:t>
      </w:r>
    </w:p>
    <w:p>
      <w:pPr>
        <w:spacing w:after="0" w:line="108"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6"/>
          <w:szCs w:val="16"/>
          <w:color w:val="auto"/>
        </w:rPr>
        <w:t>Section 5.7</w:t>
      </w:r>
      <w:r>
        <w:rPr>
          <w:sz w:val="20"/>
          <w:szCs w:val="20"/>
          <w:color w:val="auto"/>
        </w:rPr>
        <w:tab/>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right="120" w:firstLine="576"/>
        <w:spacing w:after="0" w:line="239" w:lineRule="auto"/>
        <w:rPr>
          <w:sz w:val="20"/>
          <w:szCs w:val="20"/>
          <w:color w:val="auto"/>
        </w:rPr>
      </w:pPr>
      <w:r>
        <w:rPr>
          <w:rFonts w:ascii="Times New Roman" w:cs="Times New Roman" w:eastAsia="Times New Roman" w:hAnsi="Times New Roman"/>
          <w:sz w:val="16"/>
          <w:szCs w:val="16"/>
          <w:color w:val="auto"/>
        </w:rPr>
        <w:t>THIS GUARANTEE SHALL BE GOVERNED BY AND CONSTRUED IN ACCORDANCE WITH THE LAWS OF THE STATE OF NEW YORK. This Guarantee is subject to the Trust Indenture Act and if any provision hereof limits, qualifies or conflicts with a provision of the Trust Indenture Act that is required by the Trust Indenture Act to be a part of and govern this Guarantee, the latter provision shall control. If any provision of this Guarantee modifies or excludes any provision of the Trust Indenture Act that may be so modified or excluded, the latter provision shall be deemed to apply to this Guarantee as so modified, or to be excluded, as the case may be, whether or not such provision of this Guarantee refers expressly to such provision of the Trust Indenture Act.</w:t>
      </w:r>
    </w:p>
    <w:p>
      <w:pPr>
        <w:spacing w:after="0" w:line="173"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6"/>
          <w:szCs w:val="16"/>
          <w:color w:val="auto"/>
        </w:rPr>
        <w:t>The Guarantor shall be an “obligor” with respect to the Senior Notes as such term is defined in and solely for the purposes of the Trust Indenture Act and shall comply with those provisions of the Indenture compliance with which is required by an “obligor”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1502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00"/>
          </w:cols>
          <w:pgMar w:left="1280" w:top="737" w:right="1320" w:bottom="1440" w:gutter="0" w:footer="0" w:header="0"/>
        </w:sectPr>
      </w:pPr>
    </w:p>
    <w:bookmarkStart w:id="183" w:name="page184"/>
    <w:bookmarkEnd w:id="183"/>
    <w:p>
      <w:pPr>
        <w:ind w:left="420"/>
        <w:spacing w:after="0"/>
        <w:tabs>
          <w:tab w:leader="none" w:pos="1540" w:val="left"/>
        </w:tabs>
        <w:rPr>
          <w:sz w:val="20"/>
          <w:szCs w:val="20"/>
          <w:color w:val="auto"/>
        </w:rPr>
      </w:pPr>
      <w:r>
        <w:rPr>
          <w:rFonts w:ascii="Times New Roman" w:cs="Times New Roman" w:eastAsia="Times New Roman" w:hAnsi="Times New Roman"/>
          <w:sz w:val="16"/>
          <w:szCs w:val="16"/>
          <w:color w:val="auto"/>
        </w:rPr>
        <w:t>Section 5.8</w:t>
      </w:r>
      <w:r>
        <w:rPr>
          <w:sz w:val="20"/>
          <w:szCs w:val="20"/>
          <w:color w:val="auto"/>
        </w:rPr>
        <w:tab/>
      </w:r>
      <w:r>
        <w:rPr>
          <w:rFonts w:ascii="Times New Roman" w:cs="Times New Roman" w:eastAsia="Times New Roman" w:hAnsi="Times New Roman"/>
          <w:sz w:val="14"/>
          <w:szCs w:val="14"/>
          <w:u w:val="single" w:color="auto"/>
          <w:color w:val="auto"/>
        </w:rPr>
        <w:t>Amendment; Modification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This Guarantee may be amended or modified pursuant to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020"/>
          </w:cols>
          <w:pgMar w:left="1440" w:top="737" w:right="1440" w:bottom="1440" w:gutter="0" w:footer="0" w:header="0"/>
        </w:sectPr>
      </w:pPr>
    </w:p>
    <w:bookmarkStart w:id="184" w:name="page185"/>
    <w:bookmarkEnd w:id="184"/>
    <w:p>
      <w:pPr>
        <w:ind w:left="420"/>
        <w:spacing w:after="0"/>
        <w:rPr>
          <w:sz w:val="20"/>
          <w:szCs w:val="20"/>
          <w:color w:val="auto"/>
        </w:rPr>
      </w:pPr>
      <w:r>
        <w:rPr>
          <w:rFonts w:ascii="Times New Roman" w:cs="Times New Roman" w:eastAsia="Times New Roman" w:hAnsi="Times New Roman"/>
          <w:sz w:val="16"/>
          <w:szCs w:val="16"/>
          <w:color w:val="auto"/>
        </w:rPr>
        <w:t>IN WITNESS WHEREOF, the Guarantor has caused this instrument to be duly executed.</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PRINCIPAL FINANCIAL SERVICES, INC.</w:t>
      </w:r>
    </w:p>
    <w:p>
      <w:pPr>
        <w:spacing w:after="0" w:line="1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5715</wp:posOffset>
            </wp:positionV>
            <wp:extent cx="275907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310515</wp:posOffset>
            </wp:positionV>
            <wp:extent cx="591502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020"/>
          </w:cols>
          <w:pgMar w:left="1440" w:top="737" w:right="1440" w:bottom="1440" w:gutter="0" w:footer="0" w:header="0"/>
        </w:sectPr>
      </w:pPr>
    </w:p>
    <w:bookmarkStart w:id="185" w:name="page186"/>
    <w:bookmarkEnd w:id="185"/>
    <w:p>
      <w:pPr>
        <w:ind w:left="8542"/>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Deanna D. Strable-Soethout, certify that:</w:t>
      </w:r>
    </w:p>
    <w:p>
      <w:pPr>
        <w:spacing w:after="0" w:line="188" w:lineRule="exact"/>
        <w:rPr>
          <w:sz w:val="20"/>
          <w:szCs w:val="20"/>
          <w:color w:val="auto"/>
        </w:rPr>
      </w:pPr>
    </w:p>
    <w:p>
      <w:pPr>
        <w:ind w:left="582" w:right="3640" w:hanging="582"/>
        <w:spacing w:after="0" w:line="259" w:lineRule="auto"/>
        <w:tabs>
          <w:tab w:leader="none" w:pos="58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Principal Financial Group, Inc.;</w:t>
      </w:r>
    </w:p>
    <w:p>
      <w:pPr>
        <w:spacing w:after="0" w:line="155" w:lineRule="exact"/>
        <w:rPr>
          <w:rFonts w:ascii="Times New Roman" w:cs="Times New Roman" w:eastAsia="Times New Roman" w:hAnsi="Times New Roman"/>
          <w:sz w:val="16"/>
          <w:szCs w:val="16"/>
          <w:color w:val="auto"/>
        </w:rPr>
      </w:pPr>
    </w:p>
    <w:p>
      <w:pPr>
        <w:ind w:left="582" w:right="100" w:hanging="582"/>
        <w:spacing w:after="0" w:line="247" w:lineRule="auto"/>
        <w:tabs>
          <w:tab w:leader="none" w:pos="58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582" w:right="340" w:hanging="582"/>
        <w:spacing w:after="0" w:line="331" w:lineRule="auto"/>
        <w:tabs>
          <w:tab w:leader="none" w:pos="58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4"/>
          <w:szCs w:val="14"/>
          <w:color w:val="auto"/>
        </w:rPr>
      </w:pPr>
    </w:p>
    <w:p>
      <w:pPr>
        <w:ind w:left="582" w:right="240" w:hanging="582"/>
        <w:spacing w:after="0" w:line="281" w:lineRule="auto"/>
        <w:tabs>
          <w:tab w:leader="none" w:pos="58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4"/>
          <w:szCs w:val="14"/>
          <w:color w:val="auto"/>
        </w:rPr>
      </w:pPr>
    </w:p>
    <w:p>
      <w:pPr>
        <w:ind w:left="5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13a-15(f) and 15d-15(f)) for the registrant and have:</w:t>
      </w:r>
    </w:p>
    <w:p>
      <w:pPr>
        <w:spacing w:after="0" w:line="170" w:lineRule="exact"/>
        <w:rPr>
          <w:rFonts w:ascii="Times New Roman" w:cs="Times New Roman" w:eastAsia="Times New Roman" w:hAnsi="Times New Roman"/>
          <w:sz w:val="14"/>
          <w:szCs w:val="14"/>
          <w:color w:val="auto"/>
        </w:rPr>
      </w:pPr>
    </w:p>
    <w:p>
      <w:pPr>
        <w:ind w:left="1162" w:right="60" w:hanging="586"/>
        <w:spacing w:after="0" w:line="247" w:lineRule="auto"/>
        <w:tabs>
          <w:tab w:leader="none" w:pos="116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1162" w:right="320" w:hanging="586"/>
        <w:spacing w:after="0" w:line="247" w:lineRule="auto"/>
        <w:tabs>
          <w:tab w:leader="none" w:pos="116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1162" w:hanging="586"/>
        <w:spacing w:after="0" w:line="247" w:lineRule="auto"/>
        <w:tabs>
          <w:tab w:leader="none" w:pos="116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162" w:right="80" w:hanging="586"/>
        <w:spacing w:after="0" w:line="247" w:lineRule="auto"/>
        <w:tabs>
          <w:tab w:leader="none" w:pos="116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582" w:right="260" w:hanging="582"/>
        <w:spacing w:after="0" w:line="247" w:lineRule="auto"/>
        <w:tabs>
          <w:tab w:leader="none" w:pos="58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162" w:right="40" w:hanging="586"/>
        <w:spacing w:after="0" w:line="331" w:lineRule="auto"/>
        <w:tabs>
          <w:tab w:leader="none" w:pos="1162"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4"/>
          <w:szCs w:val="14"/>
          <w:color w:val="auto"/>
        </w:rPr>
      </w:pPr>
    </w:p>
    <w:p>
      <w:pPr>
        <w:ind w:left="1162" w:right="200" w:hanging="586"/>
        <w:spacing w:after="0" w:line="259" w:lineRule="auto"/>
        <w:tabs>
          <w:tab w:leader="none" w:pos="116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April 30, 2025</w:t>
      </w:r>
    </w:p>
    <w:p>
      <w:pPr>
        <w:spacing w:after="0" w:line="188" w:lineRule="exact"/>
        <w:rPr>
          <w:sz w:val="20"/>
          <w:szCs w:val="20"/>
          <w:color w:val="auto"/>
        </w:rPr>
      </w:pPr>
    </w:p>
    <w:p>
      <w:pPr>
        <w:ind w:left="4662"/>
        <w:spacing w:after="0"/>
        <w:rPr>
          <w:sz w:val="20"/>
          <w:szCs w:val="20"/>
          <w:color w:val="auto"/>
        </w:rPr>
      </w:pPr>
      <w:r>
        <w:rPr>
          <w:rFonts w:ascii="Times New Roman" w:cs="Times New Roman" w:eastAsia="Times New Roman" w:hAnsi="Times New Roman"/>
          <w:sz w:val="16"/>
          <w:szCs w:val="16"/>
          <w:color w:val="auto"/>
        </w:rPr>
        <w:t>/s/ Deanna D. Strable-Soethout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5715</wp:posOffset>
            </wp:positionV>
            <wp:extent cx="296481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662"/>
        <w:spacing w:after="0"/>
        <w:rPr>
          <w:sz w:val="20"/>
          <w:szCs w:val="20"/>
          <w:color w:val="auto"/>
        </w:rPr>
      </w:pPr>
      <w:r>
        <w:rPr>
          <w:rFonts w:ascii="Times New Roman" w:cs="Times New Roman" w:eastAsia="Times New Roman" w:hAnsi="Times New Roman"/>
          <w:sz w:val="16"/>
          <w:szCs w:val="16"/>
          <w:color w:val="auto"/>
        </w:rPr>
        <w:t>Deanna D. Strable-Soethout</w:t>
      </w:r>
    </w:p>
    <w:p>
      <w:pPr>
        <w:spacing w:after="0" w:line="3" w:lineRule="exact"/>
        <w:rPr>
          <w:sz w:val="20"/>
          <w:szCs w:val="20"/>
          <w:color w:val="auto"/>
        </w:rPr>
      </w:pPr>
    </w:p>
    <w:p>
      <w:pPr>
        <w:ind w:left="4662"/>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591502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5" w:right="1280" w:bottom="1440" w:gutter="0" w:footer="0" w:header="0"/>
        </w:sectPr>
      </w:pPr>
    </w:p>
    <w:bookmarkStart w:id="186" w:name="page187"/>
    <w:bookmarkEnd w:id="186"/>
    <w:p>
      <w:pPr>
        <w:ind w:left="8542"/>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Joel M. Pitz, certify that:</w:t>
      </w:r>
    </w:p>
    <w:p>
      <w:pPr>
        <w:spacing w:after="0" w:line="188" w:lineRule="exact"/>
        <w:rPr>
          <w:sz w:val="20"/>
          <w:szCs w:val="20"/>
          <w:color w:val="auto"/>
        </w:rPr>
      </w:pPr>
    </w:p>
    <w:p>
      <w:pPr>
        <w:ind w:left="582" w:right="3640" w:hanging="582"/>
        <w:spacing w:after="0" w:line="259" w:lineRule="auto"/>
        <w:tabs>
          <w:tab w:leader="none" w:pos="5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Principal Financial Group, Inc.;</w:t>
      </w:r>
    </w:p>
    <w:p>
      <w:pPr>
        <w:spacing w:after="0" w:line="155" w:lineRule="exact"/>
        <w:rPr>
          <w:rFonts w:ascii="Times New Roman" w:cs="Times New Roman" w:eastAsia="Times New Roman" w:hAnsi="Times New Roman"/>
          <w:sz w:val="16"/>
          <w:szCs w:val="16"/>
          <w:color w:val="auto"/>
        </w:rPr>
      </w:pPr>
    </w:p>
    <w:p>
      <w:pPr>
        <w:ind w:left="582" w:right="100" w:hanging="582"/>
        <w:spacing w:after="0" w:line="247" w:lineRule="auto"/>
        <w:tabs>
          <w:tab w:leader="none" w:pos="5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582" w:right="340" w:hanging="582"/>
        <w:spacing w:after="0" w:line="331" w:lineRule="auto"/>
        <w:tabs>
          <w:tab w:leader="none" w:pos="58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4"/>
          <w:szCs w:val="14"/>
          <w:color w:val="auto"/>
        </w:rPr>
      </w:pPr>
    </w:p>
    <w:p>
      <w:pPr>
        <w:ind w:left="582" w:right="240" w:hanging="582"/>
        <w:spacing w:after="0" w:line="281" w:lineRule="auto"/>
        <w:tabs>
          <w:tab w:leader="none" w:pos="58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4"/>
          <w:szCs w:val="14"/>
          <w:color w:val="auto"/>
        </w:rPr>
      </w:pPr>
    </w:p>
    <w:p>
      <w:pPr>
        <w:ind w:left="58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13a-15(f) and 15d-15(f)) for the registrant and have:</w:t>
      </w:r>
    </w:p>
    <w:p>
      <w:pPr>
        <w:spacing w:after="0" w:line="170" w:lineRule="exact"/>
        <w:rPr>
          <w:rFonts w:ascii="Times New Roman" w:cs="Times New Roman" w:eastAsia="Times New Roman" w:hAnsi="Times New Roman"/>
          <w:sz w:val="14"/>
          <w:szCs w:val="14"/>
          <w:color w:val="auto"/>
        </w:rPr>
      </w:pPr>
    </w:p>
    <w:p>
      <w:pPr>
        <w:ind w:left="1162" w:right="60" w:hanging="586"/>
        <w:spacing w:after="0" w:line="247" w:lineRule="auto"/>
        <w:tabs>
          <w:tab w:leader="none" w:pos="116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1162" w:right="320" w:hanging="586"/>
        <w:spacing w:after="0" w:line="247" w:lineRule="auto"/>
        <w:tabs>
          <w:tab w:leader="none" w:pos="116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1162" w:hanging="586"/>
        <w:spacing w:after="0" w:line="247" w:lineRule="auto"/>
        <w:tabs>
          <w:tab w:leader="none" w:pos="116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162" w:right="80" w:hanging="586"/>
        <w:spacing w:after="0" w:line="247" w:lineRule="auto"/>
        <w:tabs>
          <w:tab w:leader="none" w:pos="116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582" w:right="260" w:hanging="582"/>
        <w:spacing w:after="0" w:line="247" w:lineRule="auto"/>
        <w:tabs>
          <w:tab w:leader="none" w:pos="5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162" w:right="40" w:hanging="586"/>
        <w:spacing w:after="0" w:line="331" w:lineRule="auto"/>
        <w:tabs>
          <w:tab w:leader="none" w:pos="1162"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4"/>
          <w:szCs w:val="14"/>
          <w:color w:val="auto"/>
        </w:rPr>
      </w:pPr>
    </w:p>
    <w:p>
      <w:pPr>
        <w:ind w:left="1162" w:right="200" w:hanging="586"/>
        <w:spacing w:after="0" w:line="259" w:lineRule="auto"/>
        <w:tabs>
          <w:tab w:leader="none" w:pos="116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April 30, 2025</w:t>
      </w:r>
    </w:p>
    <w:p>
      <w:pPr>
        <w:spacing w:after="0" w:line="188" w:lineRule="exact"/>
        <w:rPr>
          <w:sz w:val="20"/>
          <w:szCs w:val="20"/>
          <w:color w:val="auto"/>
        </w:rPr>
      </w:pPr>
    </w:p>
    <w:p>
      <w:pPr>
        <w:ind w:left="4662"/>
        <w:spacing w:after="0"/>
        <w:rPr>
          <w:sz w:val="20"/>
          <w:szCs w:val="20"/>
          <w:color w:val="auto"/>
        </w:rPr>
      </w:pPr>
      <w:r>
        <w:rPr>
          <w:rFonts w:ascii="Times New Roman" w:cs="Times New Roman" w:eastAsia="Times New Roman" w:hAnsi="Times New Roman"/>
          <w:sz w:val="16"/>
          <w:szCs w:val="16"/>
          <w:color w:val="auto"/>
        </w:rPr>
        <w:t>/s/ Joel M.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5715</wp:posOffset>
            </wp:positionV>
            <wp:extent cx="296481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662"/>
        <w:spacing w:after="0"/>
        <w:rPr>
          <w:sz w:val="20"/>
          <w:szCs w:val="20"/>
          <w:color w:val="auto"/>
        </w:rPr>
      </w:pPr>
      <w:r>
        <w:rPr>
          <w:rFonts w:ascii="Times New Roman" w:cs="Times New Roman" w:eastAsia="Times New Roman" w:hAnsi="Times New Roman"/>
          <w:sz w:val="16"/>
          <w:szCs w:val="16"/>
          <w:color w:val="auto"/>
        </w:rPr>
        <w:t>Joel M. Pitz</w:t>
      </w:r>
    </w:p>
    <w:p>
      <w:pPr>
        <w:spacing w:after="0" w:line="3" w:lineRule="exact"/>
        <w:rPr>
          <w:sz w:val="20"/>
          <w:szCs w:val="20"/>
          <w:color w:val="auto"/>
        </w:rPr>
      </w:pPr>
    </w:p>
    <w:p>
      <w:pPr>
        <w:ind w:left="4662"/>
        <w:spacing w:after="0"/>
        <w:rPr>
          <w:sz w:val="20"/>
          <w:szCs w:val="20"/>
          <w:color w:val="auto"/>
        </w:rPr>
      </w:pPr>
      <w:r>
        <w:rPr>
          <w:rFonts w:ascii="Times New Roman" w:cs="Times New Roman" w:eastAsia="Times New Roman" w:hAnsi="Times New Roman"/>
          <w:sz w:val="16"/>
          <w:szCs w:val="16"/>
          <w:color w:val="auto"/>
        </w:rPr>
        <w:t>Senior Vice President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591502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5" w:right="128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Section 1350 of Chapter 63</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Title 18 of the United States Code</w:t>
      </w:r>
    </w:p>
    <w:p>
      <w:pPr>
        <w:spacing w:after="0" w:line="170"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I, Deanna D. Strable-Soethout, President and Chief Executive Officer of Principal Financial Group, Inc., certify that (i) the Form 10-Q for the period ended March 31, 2025, fully complies with the requirements of Section 13(a) of the Securities Exchange Act of 1934 and (ii) the information contained in the Form 10-Q for the period ended March 31, 2025, fairly presents, in all material respects, the financial condition and results of operations of Principal Financial Group, Inc.</w:t>
      </w:r>
    </w:p>
    <w:p>
      <w:pPr>
        <w:spacing w:after="0" w:line="16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/s/ Deanna D. Strable-Soethout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5715</wp:posOffset>
            </wp:positionV>
            <wp:extent cx="296481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6"/>
          <w:szCs w:val="16"/>
          <w:color w:val="auto"/>
        </w:rPr>
        <w:t>Deanna D. Strable-Soethout</w:t>
      </w:r>
    </w:p>
    <w:p>
      <w:pPr>
        <w:ind w:left="46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ind w:left="4660"/>
        <w:spacing w:after="0"/>
        <w:rPr>
          <w:sz w:val="20"/>
          <w:szCs w:val="20"/>
          <w:color w:val="auto"/>
        </w:rPr>
      </w:pPr>
      <w:r>
        <w:rPr>
          <w:rFonts w:ascii="Times New Roman" w:cs="Times New Roman" w:eastAsia="Times New Roman" w:hAnsi="Times New Roman"/>
          <w:sz w:val="16"/>
          <w:szCs w:val="16"/>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591502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Section 1350 of Chapter 63</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Title 18 of the United States Code</w:t>
      </w:r>
    </w:p>
    <w:p>
      <w:pPr>
        <w:spacing w:after="0" w:line="170" w:lineRule="exact"/>
        <w:rPr>
          <w:sz w:val="20"/>
          <w:szCs w:val="20"/>
          <w:color w:val="auto"/>
        </w:rPr>
      </w:pPr>
    </w:p>
    <w:p>
      <w:pPr>
        <w:ind w:right="140" w:firstLine="576"/>
        <w:spacing w:after="0" w:line="243" w:lineRule="auto"/>
        <w:rPr>
          <w:sz w:val="20"/>
          <w:szCs w:val="20"/>
          <w:color w:val="auto"/>
        </w:rPr>
      </w:pPr>
      <w:r>
        <w:rPr>
          <w:rFonts w:ascii="Times New Roman" w:cs="Times New Roman" w:eastAsia="Times New Roman" w:hAnsi="Times New Roman"/>
          <w:sz w:val="16"/>
          <w:szCs w:val="16"/>
          <w:color w:val="auto"/>
        </w:rPr>
        <w:t>I, Joel M. Pitz, Senior Vice President and Interim Chief Financial Officer of Principal Financial Group, Inc., certify that (i) the Form 10-Q for the period ended March 31, 2025, fully complies with the requirements of Section 13(a) of the Securities Exchange Act of 1934 and (ii) the information contained in the Form 10-Q for the period ended March 31, 2025, fairly presents, in all material respects, the financial condition and results of operations of Principal Financial Group, Inc.</w:t>
      </w:r>
    </w:p>
    <w:p>
      <w:pPr>
        <w:spacing w:after="0" w:line="1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/s/ Joel M.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5715</wp:posOffset>
            </wp:positionV>
            <wp:extent cx="296481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6"/>
          <w:szCs w:val="16"/>
          <w:color w:val="auto"/>
        </w:rPr>
        <w:t>Joel M. Pitz</w:t>
      </w:r>
    </w:p>
    <w:p>
      <w:pPr>
        <w:ind w:left="4660"/>
        <w:spacing w:after="0"/>
        <w:rPr>
          <w:sz w:val="20"/>
          <w:szCs w:val="20"/>
          <w:color w:val="auto"/>
        </w:rPr>
      </w:pPr>
      <w:r>
        <w:rPr>
          <w:rFonts w:ascii="Times New Roman" w:cs="Times New Roman" w:eastAsia="Times New Roman" w:hAnsi="Times New Roman"/>
          <w:sz w:val="16"/>
          <w:szCs w:val="16"/>
          <w:color w:val="auto"/>
        </w:rPr>
        <w:t>Senior Vice President and Interim Chief Financial Officer</w:t>
      </w:r>
    </w:p>
    <w:p>
      <w:pPr>
        <w:ind w:left="4660"/>
        <w:spacing w:after="0"/>
        <w:rPr>
          <w:sz w:val="20"/>
          <w:szCs w:val="20"/>
          <w:color w:val="auto"/>
        </w:rPr>
      </w:pPr>
      <w:r>
        <w:rPr>
          <w:rFonts w:ascii="Times New Roman" w:cs="Times New Roman" w:eastAsia="Times New Roman" w:hAnsi="Times New Roman"/>
          <w:sz w:val="16"/>
          <w:szCs w:val="16"/>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591502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5" w:right="1280" w:bottom="1440" w:gutter="0" w:footer="0" w:header="0"/>
        </w:sectPr>
      </w:pPr>
    </w:p>
    <w:bookmarkStart w:id="189" w:name="page190"/>
    <w:bookmarkEnd w:id="18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5">
    <w:nsid w:val="3DC240FB"/>
    <w:multiLevelType w:val="hybridMultilevel"/>
    <w:lvl w:ilvl="0">
      <w:lvlJc w:val="left"/>
      <w:lvlText w:val="%1."/>
      <w:numFmt w:val="decimal"/>
      <w:start w:val="2"/>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3"/>
    </w:lvl>
  </w:abstractNum>
  <w:abstractNum w:abstractNumId="36">
    <w:nsid w:val="1DBABF00"/>
    <w:multiLevelType w:val="hybridMultilevel"/>
    <w:lvl w:ilvl="0">
      <w:lvlJc w:val="left"/>
      <w:lvlText w:val="%1."/>
      <w:numFmt w:val="decimal"/>
      <w:start w:val="14"/>
    </w:lvl>
  </w:abstractNum>
  <w:abstractNum w:abstractNumId="37">
    <w:nsid w:val="4AD084E9"/>
    <w:multiLevelType w:val="hybridMultilevel"/>
    <w:lvl w:ilvl="0">
      <w:lvlJc w:val="left"/>
      <w:lvlText w:val="%1."/>
      <w:numFmt w:val="decimal"/>
      <w:start w:val="15"/>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1)"/>
      <w:numFmt w:val="decimal"/>
      <w:start w:val="2"/>
    </w:lvl>
  </w:abstractNum>
  <w:abstractNum w:abstractNumId="44">
    <w:nsid w:val="5F5E7FD0"/>
    <w:multiLevelType w:val="hybridMultilevel"/>
    <w:lvl w:ilvl="0">
      <w:lvlJc w:val="left"/>
      <w:lvlText w:val="(%1)"/>
      <w:numFmt w:val="decimal"/>
      <w:start w:val="3"/>
    </w:lvl>
  </w:abstractNum>
  <w:abstractNum w:abstractNumId="45">
    <w:nsid w:val="98A3148"/>
    <w:multiLevelType w:val="hybridMultilevel"/>
    <w:lvl w:ilvl="0">
      <w:lvlJc w:val="left"/>
      <w:lvlText w:val="(%1)"/>
      <w:numFmt w:val="decimal"/>
      <w:start w:val="5"/>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lvl w:ilvl="1">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lvl w:ilvl="1">
      <w:lvlJc w:val="left"/>
      <w:lvlText w:val="(%2)"/>
      <w:numFmt w:val="lowerLetter"/>
      <w:start w:val="1"/>
    </w:lvl>
  </w:abstractNum>
  <w:abstractNum w:abstractNumId="58">
    <w:nsid w:val="11447B73"/>
    <w:multiLevelType w:val="hybridMultilevel"/>
    <w:lvl w:ilvl="0">
      <w:lvlJc w:val="left"/>
      <w:lvlText w:val="(%1)"/>
      <w:numFmt w:val="decimal"/>
      <w:start w:val="2"/>
    </w:lvl>
    <w:lvl w:ilvl="1">
      <w:lvlJc w:val="left"/>
      <w:lvlText w:val="%2"/>
      <w:numFmt w:val="lowerLetter"/>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
      <w:numFmt w:val="bullet"/>
      <w:start w:val="1"/>
    </w:lvl>
    <w:lvl w:ilvl="1">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lowerRoman"/>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104"/>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1"/>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lowerLetter"/>
      <w:start w:val="4"/>
    </w:lvl>
  </w:abstractNum>
  <w:abstractNum w:abstractNumId="84">
    <w:nsid w:val="68EBC550"/>
    <w:multiLevelType w:val="hybridMultilevel"/>
    <w:lvl w:ilvl="0">
      <w:lvlJc w:val="left"/>
      <w:lvlText w:val="(%1)"/>
      <w:numFmt w:val="lowerLetter"/>
      <w:start w:val="1"/>
    </w:lvl>
    <w:lvl w:ilvl="1">
      <w:lvlJc w:val="left"/>
      <w:lvlText w:val="(%2)"/>
      <w:numFmt w:val="lowerRoman"/>
      <w:start w:val="1"/>
    </w:lvl>
  </w:abstractNum>
  <w:abstractNum w:abstractNumId="85">
    <w:nsid w:val="2DF6D648"/>
    <w:multiLevelType w:val="hybridMultilevel"/>
    <w:lvl w:ilvl="0">
      <w:lvlJc w:val="left"/>
      <w:lvlText w:val="(%1)"/>
      <w:numFmt w:val="lowerLetter"/>
      <w:start w:val="2"/>
    </w:lvl>
  </w:abstractNum>
  <w:abstractNum w:abstractNumId="86">
    <w:nsid w:val="46B7D447"/>
    <w:multiLevelType w:val="hybridMultilevel"/>
    <w:lvl w:ilvl="0">
      <w:lvlJc w:val="left"/>
      <w:lvlText w:val="(%1)"/>
      <w:numFmt w:val="lowerRoman"/>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2"/>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Letter"/>
      <w:start w:val="5"/>
    </w:lvl>
  </w:abstractNum>
  <w:abstractNum w:abstractNumId="91">
    <w:nsid w:val="43F18422"/>
    <w:multiLevelType w:val="hybridMultilevel"/>
    <w:lvl w:ilvl="0">
      <w:lvlJc w:val="left"/>
      <w:lvlText w:val="(%1)"/>
      <w:numFmt w:val="lowerLetter"/>
      <w:start w:val="1"/>
    </w:lvl>
    <w:lvl w:ilvl="1">
      <w:lvlJc w:val="left"/>
      <w:lvlText w:val="(%2)"/>
      <w:numFmt w:val="lowerRoman"/>
      <w:start w:val="1"/>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2025-04-30T14:27:21Z</dcterms:created>
  <dcterms:modified xsi:type="dcterms:W3CDTF">2025-04-30T14:27:21Z</dcterms:modified>
</cp:coreProperties>
</file>