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4965d3_fwp.htm"/>
      <w:bookmarkStart w:id="1" w:name="kstm2614965d3_fwp"/>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433</w:t>
        <w:br/>
        <w:t>&amp;hairsp;Registration Statement Nos. 333-293726&amp;NegativeThickSpace; and 333-293726-01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Free Writing Prospectus (to the </w:t>
        <w:tab/>
        <w:br/>
        <w:t xml:space="preserve">Preliminary Prospectus </w:t>
        <w:tab/>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dated May 27,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2890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28900" cy="819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$400,000,000 of 5.300% Senior Notes due 2037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Final Term Sheet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27,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29"/>
        <w:gridCol w:w="7176"/>
      </w:tblGrid>
      <w:tr>
        <w:trPr/>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p>
            <w:pPr>
              <w:pStyle w:val="TableContents"/>
              <w:bidi w:val="0"/>
              <w:spacing w:before="0" w:after="0"/>
              <w:ind w:left="0" w:right="0" w:hanging="0"/>
              <w:jc w:val="left"/>
              <w:rPr>
                <w:caps w:val="false"/>
                <w:smallCaps w:val="false"/>
              </w:rPr>
            </w:pPr>
            <w:r>
              <w:rPr>
                <w:caps w:val="false"/>
                <w:smallCaps w:val="false"/>
              </w:rPr>
              <w:t> </w:t>
            </w:r>
          </w:p>
        </w:tc>
        <w:tc>
          <w:tcPr>
            <w:tcW w:w="717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Group, Inc. (the “Issuer”)</w:t>
            </w:r>
          </w:p>
          <w:p>
            <w:pPr>
              <w:pStyle w:val="TableContents"/>
              <w:bidi w:val="0"/>
              <w:spacing w:before="0" w:after="0"/>
              <w:ind w:left="0" w:right="0" w:hanging="0"/>
              <w:jc w:val="left"/>
              <w:rPr>
                <w:caps w:val="false"/>
                <w:smallCaps w:val="false"/>
              </w:rPr>
            </w:pPr>
            <w:r>
              <w:rPr>
                <w:caps w:val="false"/>
                <w:smallCaps w:val="false"/>
              </w:rPr>
              <w:t> </w:t>
            </w:r>
          </w:p>
        </w:tc>
      </w:tr>
      <w:tr>
        <w:trPr/>
        <w:tc>
          <w:tcPr>
            <w:tcW w:w="30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Guarantor: </w:t>
            </w:r>
          </w:p>
        </w:tc>
        <w:tc>
          <w:tcPr>
            <w:tcW w:w="717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Services, Inc. (the “Guarantor”)</w:t>
            </w:r>
          </w:p>
          <w:p>
            <w:pPr>
              <w:pStyle w:val="TableContents"/>
              <w:bidi w:val="0"/>
              <w:spacing w:before="0" w:after="0"/>
              <w:ind w:left="0" w:right="0" w:hanging="0"/>
              <w:jc w:val="left"/>
              <w:rPr>
                <w:caps w:val="false"/>
                <w:smallCaps w:val="false"/>
              </w:rPr>
            </w:pPr>
            <w:r>
              <w:rPr>
                <w:caps w:val="false"/>
                <w:smallCaps w:val="false"/>
              </w:rPr>
              <w:t> </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Ratings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(Moody’s / S&amp;P / Fitch)*:</w:t>
            </w:r>
          </w:p>
          <w:p>
            <w:pPr>
              <w:pStyle w:val="TableContents"/>
              <w:bidi w:val="0"/>
              <w:spacing w:before="0" w:after="0"/>
              <w:ind w:left="0" w:right="0" w:hanging="0"/>
              <w:jc w:val="left"/>
              <w:rPr>
                <w:caps w:val="false"/>
                <w:smallCaps w:val="false"/>
              </w:rPr>
            </w:pPr>
            <w:r>
              <w:rPr>
                <w:caps w:val="false"/>
                <w:smallCaps w:val="false"/>
              </w:rPr>
              <w:t> </w:t>
            </w:r>
          </w:p>
        </w:tc>
        <w:tc>
          <w:tcPr>
            <w:tcW w:w="7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Baa1 (stable) / A- (stable) / A- (stable)</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Date:</w:t>
            </w:r>
          </w:p>
          <w:p>
            <w:pPr>
              <w:pStyle w:val="TableContents"/>
              <w:bidi w:val="0"/>
              <w:spacing w:before="0" w:after="0"/>
              <w:ind w:left="0" w:right="0" w:hanging="0"/>
              <w:jc w:val="left"/>
              <w:rPr>
                <w:caps w:val="false"/>
                <w:smallCaps w:val="false"/>
              </w:rPr>
            </w:pPr>
            <w:r>
              <w:rPr>
                <w:caps w:val="false"/>
                <w:smallCaps w:val="false"/>
              </w:rPr>
              <w:t> </w:t>
            </w:r>
          </w:p>
        </w:tc>
        <w:tc>
          <w:tcPr>
            <w:tcW w:w="7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27, 2026</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Date:</w:t>
            </w:r>
          </w:p>
          <w:p>
            <w:pPr>
              <w:pStyle w:val="TableContents"/>
              <w:bidi w:val="0"/>
              <w:spacing w:before="0" w:after="0"/>
              <w:ind w:left="0" w:right="0" w:hanging="0"/>
              <w:jc w:val="left"/>
              <w:rPr>
                <w:caps w:val="false"/>
                <w:smallCaps w:val="false"/>
              </w:rPr>
            </w:pPr>
            <w:r>
              <w:rPr>
                <w:caps w:val="false"/>
                <w:smallCaps w:val="false"/>
              </w:rPr>
              <w:t> </w:t>
            </w:r>
          </w:p>
        </w:tc>
        <w:tc>
          <w:tcPr>
            <w:tcW w:w="7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 (T+3)**</w:t>
            </w:r>
          </w:p>
        </w:tc>
      </w:tr>
      <w:tr>
        <w:trPr/>
        <w:tc>
          <w:tcPr>
            <w:tcW w:w="30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w:t>
            </w:r>
          </w:p>
        </w:tc>
        <w:tc>
          <w:tcPr>
            <w:tcW w:w="717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 Senior Notes due 2037 (the “Notes”) fully and unconditionally guaranteed by the Guarantor</w:t>
            </w:r>
          </w:p>
          <w:p>
            <w:pPr>
              <w:pStyle w:val="TableContents"/>
              <w:bidi w:val="0"/>
              <w:spacing w:before="0" w:after="0"/>
              <w:ind w:left="0" w:right="0" w:hanging="0"/>
              <w:jc w:val="left"/>
              <w:rPr>
                <w:caps w:val="false"/>
                <w:smallCaps w:val="false"/>
              </w:rPr>
            </w:pPr>
            <w:r>
              <w:rPr>
                <w:caps w:val="false"/>
                <w:smallCaps w:val="false"/>
              </w:rPr>
              <w:t> </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Size:</w:t>
            </w:r>
          </w:p>
          <w:p>
            <w:pPr>
              <w:pStyle w:val="TableContents"/>
              <w:bidi w:val="0"/>
              <w:spacing w:before="0" w:after="0"/>
              <w:ind w:left="0" w:right="0" w:hanging="0"/>
              <w:jc w:val="left"/>
              <w:rPr>
                <w:caps w:val="false"/>
                <w:smallCaps w:val="false"/>
              </w:rPr>
            </w:pPr>
            <w:r>
              <w:rPr>
                <w:caps w:val="false"/>
                <w:smallCaps w:val="false"/>
              </w:rPr>
              <w:t> </w:t>
            </w:r>
          </w:p>
        </w:tc>
        <w:tc>
          <w:tcPr>
            <w:tcW w:w="717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$400,000,000</w:t>
            </w:r>
          </w:p>
          <w:p>
            <w:pPr>
              <w:pStyle w:val="TableContents"/>
              <w:bidi w:val="0"/>
              <w:spacing w:before="0" w:after="0"/>
              <w:ind w:left="0" w:right="0" w:hanging="0"/>
              <w:jc w:val="left"/>
              <w:rPr>
                <w:caps w:val="false"/>
                <w:smallCaps w:val="false"/>
              </w:rPr>
            </w:pPr>
            <w:r>
              <w:rPr>
                <w:caps w:val="false"/>
                <w:smallCaps w:val="false"/>
              </w:rPr>
              <w:t> </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Coupon:</w:t>
            </w:r>
          </w:p>
          <w:p>
            <w:pPr>
              <w:pStyle w:val="TableContents"/>
              <w:bidi w:val="0"/>
              <w:spacing w:before="0" w:after="0"/>
              <w:ind w:left="0" w:right="0" w:hanging="0"/>
              <w:jc w:val="left"/>
              <w:rPr>
                <w:caps w:val="false"/>
                <w:smallCaps w:val="false"/>
              </w:rPr>
            </w:pPr>
            <w:r>
              <w:rPr>
                <w:caps w:val="false"/>
                <w:smallCaps w:val="false"/>
              </w:rPr>
              <w:t> </w:t>
            </w:r>
          </w:p>
        </w:tc>
        <w:tc>
          <w:tcPr>
            <w:tcW w:w="7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5.300% per annum</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Date:</w:t>
            </w:r>
          </w:p>
          <w:p>
            <w:pPr>
              <w:pStyle w:val="TableContents"/>
              <w:bidi w:val="0"/>
              <w:spacing w:before="0" w:after="0"/>
              <w:ind w:left="0" w:right="0" w:hanging="0"/>
              <w:jc w:val="left"/>
              <w:rPr>
                <w:caps w:val="false"/>
                <w:smallCaps w:val="false"/>
              </w:rPr>
            </w:pPr>
            <w:r>
              <w:rPr>
                <w:caps w:val="false"/>
                <w:smallCaps w:val="false"/>
              </w:rPr>
              <w:t> </w:t>
            </w:r>
          </w:p>
        </w:tc>
        <w:tc>
          <w:tcPr>
            <w:tcW w:w="7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15, 2037</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Benchmark Treasury:</w:t>
            </w:r>
          </w:p>
          <w:p>
            <w:pPr>
              <w:pStyle w:val="TableContents"/>
              <w:bidi w:val="0"/>
              <w:spacing w:before="0" w:after="0"/>
              <w:ind w:left="0" w:right="0" w:hanging="0"/>
              <w:jc w:val="left"/>
              <w:rPr>
                <w:caps w:val="false"/>
                <w:smallCaps w:val="false"/>
              </w:rPr>
            </w:pPr>
            <w:r>
              <w:rPr>
                <w:caps w:val="false"/>
                <w:smallCaps w:val="false"/>
              </w:rPr>
              <w:t> </w:t>
            </w:r>
          </w:p>
        </w:tc>
        <w:tc>
          <w:tcPr>
            <w:tcW w:w="7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UST 4.375% due May 15, 2036</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Benchmark Treasury Price:</w:t>
            </w:r>
          </w:p>
          <w:p>
            <w:pPr>
              <w:pStyle w:val="TableContents"/>
              <w:bidi w:val="0"/>
              <w:spacing w:before="0" w:after="0"/>
              <w:ind w:left="0" w:right="0" w:hanging="0"/>
              <w:jc w:val="left"/>
              <w:rPr>
                <w:caps w:val="false"/>
                <w:smallCaps w:val="false"/>
              </w:rPr>
            </w:pPr>
            <w:r>
              <w:rPr>
                <w:caps w:val="false"/>
                <w:smallCaps w:val="false"/>
              </w:rPr>
              <w:t> </w:t>
            </w:r>
          </w:p>
        </w:tc>
        <w:tc>
          <w:tcPr>
            <w:tcW w:w="7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99-04</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Benchmark Treasury Yield:</w:t>
            </w:r>
          </w:p>
          <w:p>
            <w:pPr>
              <w:pStyle w:val="TableContents"/>
              <w:bidi w:val="0"/>
              <w:spacing w:before="0" w:after="0"/>
              <w:ind w:left="0" w:right="0" w:hanging="0"/>
              <w:jc w:val="left"/>
              <w:rPr>
                <w:caps w:val="false"/>
                <w:smallCaps w:val="false"/>
              </w:rPr>
            </w:pPr>
            <w:r>
              <w:rPr>
                <w:caps w:val="false"/>
                <w:smallCaps w:val="false"/>
              </w:rPr>
              <w:t> </w:t>
            </w:r>
          </w:p>
        </w:tc>
        <w:tc>
          <w:tcPr>
            <w:tcW w:w="7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4.485%</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Spread to US Benchmark Treasury:</w:t>
            </w:r>
          </w:p>
          <w:p>
            <w:pPr>
              <w:pStyle w:val="TableContents"/>
              <w:bidi w:val="0"/>
              <w:spacing w:before="0" w:after="0"/>
              <w:ind w:left="0" w:right="0" w:hanging="0"/>
              <w:jc w:val="left"/>
              <w:rPr>
                <w:caps w:val="false"/>
                <w:smallCaps w:val="false"/>
              </w:rPr>
            </w:pPr>
            <w:r>
              <w:rPr>
                <w:caps w:val="false"/>
                <w:smallCaps w:val="false"/>
              </w:rPr>
              <w:t> </w:t>
            </w:r>
          </w:p>
        </w:tc>
        <w:tc>
          <w:tcPr>
            <w:tcW w:w="7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 basis points</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Re-offer Yield:</w:t>
            </w:r>
          </w:p>
          <w:p>
            <w:pPr>
              <w:pStyle w:val="TableContents"/>
              <w:bidi w:val="0"/>
              <w:spacing w:before="0" w:after="0"/>
              <w:ind w:left="0" w:right="0" w:hanging="0"/>
              <w:jc w:val="left"/>
              <w:rPr>
                <w:caps w:val="false"/>
                <w:smallCaps w:val="false"/>
              </w:rPr>
            </w:pPr>
            <w:r>
              <w:rPr>
                <w:caps w:val="false"/>
                <w:smallCaps w:val="false"/>
              </w:rPr>
              <w:t> </w:t>
            </w:r>
          </w:p>
        </w:tc>
        <w:tc>
          <w:tcPr>
            <w:tcW w:w="7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5.335%</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to Public (Issue Price):</w:t>
            </w:r>
          </w:p>
          <w:p>
            <w:pPr>
              <w:pStyle w:val="TableContents"/>
              <w:bidi w:val="0"/>
              <w:spacing w:before="0" w:after="0"/>
              <w:ind w:left="0" w:right="0" w:hanging="0"/>
              <w:jc w:val="left"/>
              <w:rPr>
                <w:caps w:val="false"/>
                <w:smallCaps w:val="false"/>
              </w:rPr>
            </w:pPr>
            <w:r>
              <w:rPr>
                <w:caps w:val="false"/>
                <w:smallCaps w:val="false"/>
              </w:rPr>
              <w:t> </w:t>
            </w:r>
          </w:p>
        </w:tc>
        <w:tc>
          <w:tcPr>
            <w:tcW w:w="7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99.709% </w:t>
            </w:r>
          </w:p>
        </w:tc>
      </w:tr>
      <w:tr>
        <w:trPr/>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to Issuer (Before Expenses):</w:t>
            </w:r>
          </w:p>
          <w:p>
            <w:pPr>
              <w:pStyle w:val="TableContents"/>
              <w:bidi w:val="0"/>
              <w:spacing w:before="0" w:after="0"/>
              <w:ind w:left="0" w:right="0" w:hanging="0"/>
              <w:jc w:val="left"/>
              <w:rPr>
                <w:caps w:val="false"/>
                <w:smallCaps w:val="false"/>
              </w:rPr>
            </w:pPr>
            <w:r>
              <w:rPr>
                <w:caps w:val="false"/>
                <w:smallCaps w:val="false"/>
              </w:rPr>
              <w:t> </w:t>
            </w:r>
          </w:p>
        </w:tc>
        <w:tc>
          <w:tcPr>
            <w:tcW w:w="7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$396,236,000</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73"/>
        <w:gridCol w:w="8632"/>
      </w:tblGrid>
      <w:tr>
        <w:trPr/>
        <w:tc>
          <w:tcPr>
            <w:tcW w:w="1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863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Semi-annually on January 15 and July 15 of each year, commencing on January 15, 2027 (long first coupon)</w:t>
            </w:r>
          </w:p>
          <w:p>
            <w:pPr>
              <w:pStyle w:val="TableContents"/>
              <w:bidi w:val="0"/>
              <w:spacing w:before="0" w:after="0"/>
              <w:ind w:left="0" w:right="0" w:hanging="0"/>
              <w:jc w:val="left"/>
              <w:rPr>
                <w:caps w:val="false"/>
                <w:smallCaps w:val="false"/>
              </w:rPr>
            </w:pPr>
            <w:r>
              <w:rPr>
                <w:caps w:val="false"/>
                <w:smallCaps w:val="false"/>
              </w:rPr>
              <w:t> </w:t>
            </w:r>
          </w:p>
        </w:tc>
      </w:tr>
      <w:tr>
        <w:trPr/>
        <w:tc>
          <w:tcPr>
            <w:tcW w:w="1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863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redeem the Notes as set forth in the Preliminary Prospectus Supplement dated May 27, 2026 to the Prospectus dated February 25, 2026 (collectively, the “Prospectus”).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October 15, 2036 (three months prior to their maturity date) (the “Par Call Date”), the Issuer may redeem the Notes at its option, in whole or in part, at any time and from time to time, at a redemption price (expressed as a percentage of principal amount and rounded to three decimal places) equal to the greater of: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Prospectus) plus 15 basis points less (b) interest accrued to the redemption date, 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Notes to be redeemed,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but excluding, the redemption date.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Issuer may redeem the Notes, in whole or in part, at any time and from time to time, at a redemption price equal to 100% of the principal amount of the Notes being redeemed, plus accrued and unpaid interest thereon to, but excluding, the redemption date.</w:t>
            </w:r>
          </w:p>
          <w:p>
            <w:pPr>
              <w:pStyle w:val="TableContents"/>
              <w:bidi w:val="0"/>
              <w:spacing w:before="0" w:after="0"/>
              <w:ind w:left="0" w:right="0" w:hanging="0"/>
              <w:jc w:val="left"/>
              <w:rPr>
                <w:caps w:val="false"/>
                <w:smallCaps w:val="false"/>
              </w:rPr>
            </w:pPr>
            <w:r>
              <w:rPr>
                <w:caps w:val="false"/>
                <w:smallCaps w:val="false"/>
              </w:rPr>
              <w:t> </w:t>
            </w:r>
          </w:p>
        </w:tc>
      </w:tr>
      <w:tr>
        <w:trPr/>
        <w:tc>
          <w:tcPr>
            <w:tcW w:w="157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CUSIP/ISIN:</w:t>
            </w:r>
          </w:p>
          <w:p>
            <w:pPr>
              <w:pStyle w:val="TableContents"/>
              <w:bidi w:val="0"/>
              <w:spacing w:before="0" w:after="0"/>
              <w:ind w:left="0" w:right="0" w:hanging="0"/>
              <w:jc w:val="left"/>
              <w:rPr>
                <w:caps w:val="false"/>
                <w:smallCaps w:val="false"/>
              </w:rPr>
            </w:pPr>
            <w:r>
              <w:rPr>
                <w:caps w:val="false"/>
                <w:smallCaps w:val="false"/>
              </w:rPr>
              <w:t> </w:t>
            </w:r>
          </w:p>
        </w:tc>
        <w:tc>
          <w:tcPr>
            <w:tcW w:w="86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74251V AW2 / US74251VAW28</w:t>
            </w:r>
          </w:p>
        </w:tc>
      </w:tr>
      <w:tr>
        <w:trPr/>
        <w:tc>
          <w:tcPr>
            <w:tcW w:w="1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863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tab/>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tab/>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tab/>
            </w:r>
          </w:p>
          <w:p>
            <w:pPr>
              <w:pStyle w:val="TableContents"/>
              <w:bidi w:val="0"/>
              <w:spacing w:before="0" w:after="0"/>
              <w:ind w:left="0" w:right="0" w:firstLine="720"/>
              <w:jc w:val="left"/>
              <w:rPr>
                <w:caps w:val="false"/>
                <w:smallCaps w:val="false"/>
              </w:rPr>
            </w:pPr>
            <w:r>
              <w:rPr>
                <w:caps w:val="false"/>
                <w:smallCaps w:val="false"/>
              </w:rPr>
              <w:t> </w:t>
            </w:r>
          </w:p>
        </w:tc>
      </w:tr>
      <w:tr>
        <w:trPr/>
        <w:tc>
          <w:tcPr>
            <w:tcW w:w="1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863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PNC Capital Markets LLC </w:t>
              <w:tab/>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SMBC Nikko Securities America, Inc.</w:t>
              <w:tab/>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CastleOak Securities, 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Drexel Hamilton,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Samuel A. Ramirez &amp; Company, Inc.</w:t>
            </w:r>
          </w:p>
          <w:p>
            <w:pPr>
              <w:pStyle w:val="TableContents"/>
              <w:bidi w:val="0"/>
              <w:spacing w:before="0" w:after="0"/>
              <w:ind w:left="0" w:right="0" w:firstLine="720"/>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securities rating is not a recommendation to buy, sell or hold securities and should be evaluated independently of any other rating. The rating is subject to revision or withdrawal at any time by the assigning rating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expects to deliver the Notes against payment for the Notes on or about the Settlement Date specified above, which will be the third business day (T+3) following the date hereof. Under Rule 15c6-1 under the Securities Exchange Act of 1934, as amended, trades in the secondary market generally are required to settle in one (1) business day, unless the parties to a trade expressly agree otherwise. Accordingly, purchasers who wish to trade the Notes more than one business day prior to the scheduled Settlement Date will be required, by virtue of the fact that the Notes will initially settle in T+3, to specify an alternative settlement arrangement at the time of any such trade to prevent a failed settlement. Purchasers of the Notes who wish to trade the Notes more than one business day prior to the scheduled Settlement Date should consult their own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and the Guarantor have filed a registration statement (including a prospectus) with the SEC for the offering to which this communication relates. Before you invest, you should read the Prospectus in that registration statement and other documents the Issuer and the Guarantor have filed with the SEC for more complete information about the Issuer and the Guarantor and this offering. You may obtain these documents for free by visiting EDGAR on the SEC Web site at www.sec.gov. Alternatively, the Issuer, any underwriter or any dealer participating in the offering will arrange to send you the Prospectus if you request it by calling BofA Securities, Inc. toll-free at (800) 294-1322, Goldman Sachs &amp; Co. LLC toll-free at (866) 471-2526 or J.P. Morgan Securities LLC collect at (212) 834-4533.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disclaimer or other notices that may appear below are not applicable to this communication and should be disregarded. Such disclaimers were automatically generated as a result of the communication being sent via Bloomberg or another email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4286</Characters>
  <CharactersWithSpaces>5092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