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1"/>
        <w:gridCol w:w="3063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Mills Scott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711 HIGH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DES MOINES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50392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PRINCIPAL FINANCIAL GROUP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PFG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1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09/25/2026</w:t>
            </w:r>
          </w:p>
        </w:tc>
        <w:tc>
          <w:tcPr>
            <w:tcW w:w="30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3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67"/>
        <w:gridCol w:w="903"/>
        <w:gridCol w:w="772"/>
        <w:gridCol w:w="600"/>
        <w:gridCol w:w="352"/>
        <w:gridCol w:w="816"/>
        <w:gridCol w:w="463"/>
        <w:gridCol w:w="718"/>
        <w:gridCol w:w="1178"/>
        <w:gridCol w:w="1008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6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9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6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6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09/25/2026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246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1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36,386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738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75"/>
        <w:gridCol w:w="861"/>
        <w:gridCol w:w="891"/>
        <w:gridCol w:w="771"/>
        <w:gridCol w:w="591"/>
        <w:gridCol w:w="300"/>
        <w:gridCol w:w="498"/>
        <w:gridCol w:w="303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738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3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Phantom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09/25/2026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150</w:t>
            </w:r>
          </w:p>
        </w:tc>
        <w:tc>
          <w:tcPr>
            <w:tcW w:w="3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114.75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20,643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Grant of restricted stock units.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units convert to common stock on a one-for-one basis.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reported phantom stock units were acquired pursuant to the Principal Deferred Compensation Plan for Non-Employee Directors and may be transferred at any time into another investment alternative under the Plan. Interests under the Plan will be settled upon the reporting person's retirement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Chris Agbe-Davies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59855" TargetMode="External"/><Relationship Id="rId5" Type="http://schemas.openxmlformats.org/officeDocument/2006/relationships/hyperlink" Target="http://www.sec.gov/cgi-bin/browse-edgar?action=getcompany&amp;CIK=000112632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636</Words>
  <Characters>3451</Characters>
  <CharactersWithSpaces>4007</CharactersWithSpaces>
  <Paragraphs>108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