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October 26,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PRINCIPAL FINANCIAL GROUP,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63"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1-16725</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42-1520346</w:t>
      </w:r>
    </w:p>
    <w:p>
      <w:pPr>
        <w:spacing w:after="0" w:line="52" w:lineRule="exact"/>
        <w:rPr>
          <w:sz w:val="24"/>
          <w:szCs w:val="24"/>
          <w:color w:val="auto"/>
        </w:rPr>
      </w:pPr>
    </w:p>
    <w:p>
      <w:pPr>
        <w:sectPr>
          <w:pgSz w:w="11900" w:h="16838" w:orient="portrait"/>
          <w:cols w:equalWidth="0" w:num="3">
            <w:col w:w="4620" w:space="720"/>
            <w:col w:w="2900" w:space="720"/>
            <w:col w:w="2280"/>
          </w:cols>
          <w:pgMar w:left="320" w:top="763" w:right="339" w:bottom="1440" w:gutter="0" w:footer="0" w:header="0"/>
          <w:type w:val="continuous"/>
        </w:sectPr>
      </w:pPr>
    </w:p>
    <w:p>
      <w:pPr>
        <w:jc w:val="center"/>
        <w:ind w:right="2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60" w:space="720"/>
            <w:col w:w="3160" w:space="720"/>
            <w:col w:w="2680"/>
          </w:cols>
          <w:pgMar w:left="320" w:top="76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711 High Street, Des Moines, Iowa 50392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(515) 247-5111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6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right="18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(§203.405 of this chapter) or rule 12b-2 of the Securities Exchange Act of 1934 (§240.12b-2 of this chapter).</w:t>
      </w:r>
    </w:p>
    <w:p>
      <w:pPr>
        <w:spacing w:after="0" w:line="121" w:lineRule="exact"/>
        <w:rPr>
          <w:sz w:val="24"/>
          <w:szCs w:val="24"/>
          <w:color w:val="auto"/>
        </w:rPr>
      </w:pPr>
    </w:p>
    <w:p>
      <w:pPr>
        <w:ind w:left="8600"/>
        <w:spacing w:after="0" w:line="207" w:lineRule="exact"/>
        <w:tabs>
          <w:tab w:leader="none" w:pos="107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left="340" w:right="18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9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PFG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90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3"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26, 2026, Principal Financial Group, Inc. publicly announced information regarding its results of operations and financial condition for the quarter ended September 30, 2026. The text of the announcement is included herewith as Exhibit 99.</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w:t>
      </w:r>
      <w:r>
        <w:rPr>
          <w:sz w:val="20"/>
          <w:szCs w:val="20"/>
          <w:color w:val="auto"/>
        </w:rPr>
        <w:tab/>
      </w:r>
      <w:r>
        <w:rPr>
          <w:rFonts w:ascii="Times New Roman" w:cs="Times New Roman" w:eastAsia="Times New Roman" w:hAnsi="Times New Roman"/>
          <w:sz w:val="18"/>
          <w:szCs w:val="18"/>
          <w:u w:val="single" w:color="auto"/>
          <w:color w:val="0000EE"/>
        </w:rPr>
        <w:t>Third Quarter 2026 Earnings Release</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to this Current Report on Form 8-K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Joel Pitz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47447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INVESTOR CONTACT</w:t>
            </w:r>
            <w:r>
              <w:rPr>
                <w:rFonts w:ascii="Arial" w:cs="Arial" w:eastAsia="Arial" w:hAnsi="Arial"/>
                <w:sz w:val="14"/>
                <w:szCs w:val="14"/>
                <w:color w:val="auto"/>
              </w:rPr>
              <w:t>:</w:t>
            </w:r>
          </w:p>
        </w:tc>
        <w:tc>
          <w:tcPr>
            <w:tcW w:w="2680" w:type="dxa"/>
            <w:vAlign w:val="bottom"/>
          </w:tcPr>
          <w:p>
            <w:pPr>
              <w:ind w:left="1460"/>
              <w:spacing w:after="0"/>
              <w:rPr>
                <w:sz w:val="20"/>
                <w:szCs w:val="20"/>
                <w:color w:val="auto"/>
              </w:rPr>
            </w:pPr>
            <w:r>
              <w:rPr>
                <w:rFonts w:ascii="Arial" w:cs="Arial" w:eastAsia="Arial" w:hAnsi="Arial"/>
                <w:sz w:val="14"/>
                <w:szCs w:val="14"/>
                <w:b w:val="1"/>
                <w:bCs w:val="1"/>
                <w:color w:val="auto"/>
                <w:w w:val="98"/>
              </w:rPr>
              <w:t>MEDIA CONTACT:</w:t>
            </w:r>
          </w:p>
        </w:tc>
        <w:tc>
          <w:tcPr>
            <w:tcW w:w="9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58"/>
        </w:trPr>
        <w:tc>
          <w:tcPr>
            <w:tcW w:w="1160" w:type="dxa"/>
            <w:vAlign w:val="bottom"/>
          </w:tcPr>
          <w:p>
            <w:pPr>
              <w:spacing w:after="0" w:line="158" w:lineRule="exact"/>
              <w:rPr>
                <w:sz w:val="20"/>
                <w:szCs w:val="20"/>
                <w:color w:val="auto"/>
              </w:rPr>
            </w:pPr>
            <w:r>
              <w:rPr>
                <w:rFonts w:ascii="Arial" w:cs="Arial" w:eastAsia="Arial" w:hAnsi="Arial"/>
                <w:sz w:val="14"/>
                <w:szCs w:val="14"/>
                <w:color w:val="auto"/>
              </w:rPr>
              <w:t>Humphrey Lee</w:t>
            </w:r>
          </w:p>
        </w:tc>
        <w:tc>
          <w:tcPr>
            <w:tcW w:w="3020" w:type="dxa"/>
            <w:vAlign w:val="bottom"/>
            <w:gridSpan w:val="2"/>
          </w:tcPr>
          <w:p>
            <w:pPr>
              <w:ind w:left="200"/>
              <w:spacing w:after="0" w:line="158" w:lineRule="exact"/>
              <w:rPr>
                <w:sz w:val="20"/>
                <w:szCs w:val="20"/>
                <w:color w:val="auto"/>
              </w:rPr>
            </w:pPr>
            <w:r>
              <w:rPr>
                <w:rFonts w:ascii="Arial" w:cs="Arial" w:eastAsia="Arial" w:hAnsi="Arial"/>
                <w:sz w:val="14"/>
                <w:szCs w:val="14"/>
                <w:color w:val="auto"/>
              </w:rPr>
              <w:t xml:space="preserve">877-909-1105, </w:t>
            </w:r>
            <w:r>
              <w:rPr>
                <w:rFonts w:ascii="Arial" w:cs="Arial" w:eastAsia="Arial" w:hAnsi="Arial"/>
                <w:sz w:val="14"/>
                <w:szCs w:val="14"/>
                <w:color w:val="0000FF"/>
              </w:rPr>
              <w:t>lee.humphrey@principal.com</w:t>
            </w:r>
          </w:p>
        </w:tc>
        <w:tc>
          <w:tcPr>
            <w:tcW w:w="2680" w:type="dxa"/>
            <w:vAlign w:val="bottom"/>
          </w:tcPr>
          <w:p>
            <w:pPr>
              <w:ind w:left="1460"/>
              <w:spacing w:after="0" w:line="158" w:lineRule="exact"/>
              <w:rPr>
                <w:sz w:val="20"/>
                <w:szCs w:val="20"/>
                <w:color w:val="auto"/>
              </w:rPr>
            </w:pPr>
            <w:r>
              <w:rPr>
                <w:rFonts w:ascii="Arial" w:cs="Arial" w:eastAsia="Arial" w:hAnsi="Arial"/>
                <w:sz w:val="14"/>
                <w:szCs w:val="14"/>
                <w:color w:val="auto"/>
              </w:rPr>
              <w:t>Sara Bonney</w:t>
            </w:r>
          </w:p>
        </w:tc>
        <w:tc>
          <w:tcPr>
            <w:tcW w:w="2760" w:type="dxa"/>
            <w:vAlign w:val="bottom"/>
            <w:gridSpan w:val="2"/>
          </w:tcPr>
          <w:p>
            <w:pPr>
              <w:spacing w:after="0" w:line="158" w:lineRule="exact"/>
              <w:rPr>
                <w:sz w:val="20"/>
                <w:szCs w:val="20"/>
                <w:color w:val="auto"/>
              </w:rPr>
            </w:pPr>
            <w:r>
              <w:rPr>
                <w:rFonts w:ascii="Arial" w:cs="Arial" w:eastAsia="Arial" w:hAnsi="Arial"/>
                <w:sz w:val="14"/>
                <w:szCs w:val="14"/>
                <w:color w:val="auto"/>
              </w:rPr>
              <w:t xml:space="preserve">515-878-0835, </w:t>
            </w:r>
            <w:r>
              <w:rPr>
                <w:rFonts w:ascii="Arial" w:cs="Arial" w:eastAsia="Arial" w:hAnsi="Arial"/>
                <w:sz w:val="14"/>
                <w:szCs w:val="14"/>
                <w:color w:val="0000FF"/>
              </w:rPr>
              <w:t>bonney.sara@principal.com</w:t>
            </w:r>
          </w:p>
        </w:tc>
      </w:tr>
      <w:tr>
        <w:trPr>
          <w:trHeight w:val="20"/>
        </w:trPr>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4C97"/>
        </w:rPr>
        <w:t>Principal Financial Group</w:t>
      </w:r>
      <w:r>
        <w:rPr>
          <w:rFonts w:ascii="Arial" w:cs="Arial" w:eastAsia="Arial" w:hAnsi="Arial"/>
          <w:sz w:val="47"/>
          <w:szCs w:val="47"/>
          <w:b w:val="1"/>
          <w:bCs w:val="1"/>
          <w:color w:val="004C97"/>
          <w:vertAlign w:val="superscript"/>
        </w:rPr>
        <w:t>®</w:t>
      </w:r>
      <w:r>
        <w:rPr>
          <w:rFonts w:ascii="Arial" w:cs="Arial" w:eastAsia="Arial" w:hAnsi="Arial"/>
          <w:sz w:val="29"/>
          <w:szCs w:val="29"/>
          <w:b w:val="1"/>
          <w:bCs w:val="1"/>
          <w:color w:val="004C97"/>
        </w:rPr>
        <w:t xml:space="preserve"> Announces Third Quarter 2026 Results</w:t>
      </w:r>
    </w:p>
    <w:p>
      <w:pPr>
        <w:jc w:val="center"/>
        <w:spacing w:after="0"/>
        <w:rPr>
          <w:sz w:val="20"/>
          <w:szCs w:val="20"/>
          <w:color w:val="auto"/>
        </w:rPr>
      </w:pPr>
      <w:r>
        <w:rPr>
          <w:rFonts w:ascii="Arial" w:cs="Arial" w:eastAsia="Arial" w:hAnsi="Arial"/>
          <w:sz w:val="20"/>
          <w:szCs w:val="20"/>
          <w:color w:val="004C97"/>
        </w:rPr>
        <w:t>Raises fourth quarter 2026 common stock dividend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(Des Moines, Iowa) – Principal Financial Group</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(Nasdaq: PFG) announced results for third quarter 2026.</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317"/>
        </w:trPr>
        <w:tc>
          <w:tcPr>
            <w:tcW w:w="4660" w:type="dxa"/>
            <w:vAlign w:val="bottom"/>
            <w:shd w:val="clear" w:color="auto" w:fill="004C97"/>
          </w:tcPr>
          <w:p>
            <w:pPr>
              <w:ind w:left="940"/>
              <w:spacing w:after="0"/>
              <w:rPr>
                <w:sz w:val="20"/>
                <w:szCs w:val="20"/>
                <w:color w:val="auto"/>
              </w:rPr>
            </w:pPr>
            <w:r>
              <w:rPr>
                <w:rFonts w:ascii="Arial" w:cs="Arial" w:eastAsia="Arial" w:hAnsi="Arial"/>
                <w:sz w:val="16"/>
                <w:szCs w:val="16"/>
                <w:b w:val="1"/>
                <w:bCs w:val="1"/>
                <w:color w:val="FFFFFF"/>
              </w:rPr>
              <w:t>Diluted earnings per common share</w:t>
            </w:r>
          </w:p>
        </w:tc>
        <w:tc>
          <w:tcPr>
            <w:tcW w:w="800" w:type="dxa"/>
            <w:vAlign w:val="bottom"/>
            <w:shd w:val="clear" w:color="auto" w:fill="004C97"/>
          </w:tcPr>
          <w:p>
            <w:pPr>
              <w:ind w:left="200"/>
              <w:spacing w:after="0"/>
              <w:rPr>
                <w:sz w:val="20"/>
                <w:szCs w:val="20"/>
                <w:color w:val="auto"/>
              </w:rPr>
            </w:pPr>
            <w:r>
              <w:rPr>
                <w:rFonts w:ascii="Arial" w:cs="Arial" w:eastAsia="Arial" w:hAnsi="Arial"/>
                <w:sz w:val="16"/>
                <w:szCs w:val="16"/>
                <w:b w:val="1"/>
                <w:bCs w:val="1"/>
                <w:color w:val="FFFFFF"/>
              </w:rPr>
              <w:t>3Q26</w:t>
            </w:r>
          </w:p>
        </w:tc>
        <w:tc>
          <w:tcPr>
            <w:tcW w:w="200" w:type="dxa"/>
            <w:vAlign w:val="bottom"/>
          </w:tcPr>
          <w:p>
            <w:pPr>
              <w:spacing w:after="0"/>
              <w:rPr>
                <w:sz w:val="24"/>
                <w:szCs w:val="24"/>
                <w:color w:val="auto"/>
              </w:rPr>
            </w:pPr>
          </w:p>
        </w:tc>
        <w:tc>
          <w:tcPr>
            <w:tcW w:w="3540" w:type="dxa"/>
            <w:vAlign w:val="bottom"/>
            <w:shd w:val="clear" w:color="auto" w:fill="004C97"/>
          </w:tcPr>
          <w:p>
            <w:pPr>
              <w:ind w:left="1000"/>
              <w:spacing w:after="0"/>
              <w:rPr>
                <w:sz w:val="20"/>
                <w:szCs w:val="20"/>
                <w:color w:val="auto"/>
              </w:rPr>
            </w:pPr>
            <w:r>
              <w:rPr>
                <w:rFonts w:ascii="Arial" w:cs="Arial" w:eastAsia="Arial" w:hAnsi="Arial"/>
                <w:sz w:val="16"/>
                <w:szCs w:val="16"/>
                <w:b w:val="1"/>
                <w:bCs w:val="1"/>
                <w:color w:val="FFFFFF"/>
              </w:rPr>
              <w:t>Earnings (in millions)</w:t>
            </w:r>
          </w:p>
        </w:tc>
        <w:tc>
          <w:tcPr>
            <w:tcW w:w="900" w:type="dxa"/>
            <w:vAlign w:val="bottom"/>
            <w:shd w:val="clear" w:color="auto" w:fill="004C97"/>
          </w:tcPr>
          <w:p>
            <w:pPr>
              <w:jc w:val="center"/>
              <w:ind w:left="19"/>
              <w:spacing w:after="0"/>
              <w:rPr>
                <w:sz w:val="20"/>
                <w:szCs w:val="20"/>
                <w:color w:val="auto"/>
              </w:rPr>
            </w:pPr>
            <w:r>
              <w:rPr>
                <w:rFonts w:ascii="Arial" w:cs="Arial" w:eastAsia="Arial" w:hAnsi="Arial"/>
                <w:sz w:val="16"/>
                <w:szCs w:val="16"/>
                <w:b w:val="1"/>
                <w:bCs w:val="1"/>
                <w:color w:val="FFFFFF"/>
              </w:rPr>
              <w:t>3Q26</w:t>
            </w:r>
          </w:p>
        </w:tc>
        <w:tc>
          <w:tcPr>
            <w:tcW w:w="0" w:type="dxa"/>
            <w:vAlign w:val="bottom"/>
          </w:tcPr>
          <w:p>
            <w:pPr>
              <w:spacing w:after="0"/>
              <w:rPr>
                <w:sz w:val="1"/>
                <w:szCs w:val="1"/>
                <w:color w:val="auto"/>
              </w:rPr>
            </w:pPr>
          </w:p>
        </w:tc>
      </w:tr>
      <w:tr>
        <w:trPr>
          <w:trHeight w:val="88"/>
        </w:trPr>
        <w:tc>
          <w:tcPr>
            <w:tcW w:w="4660" w:type="dxa"/>
            <w:vAlign w:val="bottom"/>
            <w:shd w:val="clear" w:color="auto" w:fill="004C97"/>
          </w:tcPr>
          <w:p>
            <w:pPr>
              <w:spacing w:after="0"/>
              <w:rPr>
                <w:sz w:val="7"/>
                <w:szCs w:val="7"/>
                <w:color w:val="auto"/>
              </w:rPr>
            </w:pPr>
          </w:p>
        </w:tc>
        <w:tc>
          <w:tcPr>
            <w:tcW w:w="800" w:type="dxa"/>
            <w:vAlign w:val="bottom"/>
            <w:shd w:val="clear" w:color="auto" w:fill="004C97"/>
          </w:tcPr>
          <w:p>
            <w:pPr>
              <w:spacing w:after="0"/>
              <w:rPr>
                <w:sz w:val="7"/>
                <w:szCs w:val="7"/>
                <w:color w:val="auto"/>
              </w:rPr>
            </w:pPr>
          </w:p>
        </w:tc>
        <w:tc>
          <w:tcPr>
            <w:tcW w:w="200" w:type="dxa"/>
            <w:vAlign w:val="bottom"/>
            <w:vMerge w:val="restart"/>
          </w:tcPr>
          <w:p>
            <w:pPr>
              <w:spacing w:after="0"/>
              <w:rPr>
                <w:sz w:val="7"/>
                <w:szCs w:val="7"/>
                <w:color w:val="auto"/>
              </w:rPr>
            </w:pPr>
          </w:p>
        </w:tc>
        <w:tc>
          <w:tcPr>
            <w:tcW w:w="3540" w:type="dxa"/>
            <w:vAlign w:val="bottom"/>
            <w:shd w:val="clear" w:color="auto" w:fill="004C97"/>
          </w:tcPr>
          <w:p>
            <w:pPr>
              <w:spacing w:after="0"/>
              <w:rPr>
                <w:sz w:val="7"/>
                <w:szCs w:val="7"/>
                <w:color w:val="auto"/>
              </w:rPr>
            </w:pPr>
          </w:p>
        </w:tc>
        <w:tc>
          <w:tcPr>
            <w:tcW w:w="900" w:type="dxa"/>
            <w:vAlign w:val="bottom"/>
            <w:shd w:val="clear" w:color="auto" w:fill="004C97"/>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660" w:type="dxa"/>
            <w:vAlign w:val="bottom"/>
          </w:tcPr>
          <w:p>
            <w:pPr>
              <w:ind w:left="160"/>
              <w:spacing w:after="0"/>
              <w:rPr>
                <w:sz w:val="20"/>
                <w:szCs w:val="20"/>
                <w:color w:val="auto"/>
              </w:rPr>
            </w:pPr>
            <w:r>
              <w:rPr>
                <w:rFonts w:ascii="Arial" w:cs="Arial" w:eastAsia="Arial" w:hAnsi="Arial"/>
                <w:sz w:val="16"/>
                <w:szCs w:val="16"/>
                <w:color w:val="auto"/>
              </w:rPr>
              <w:t>Net income attributable to PFG</w:t>
            </w:r>
          </w:p>
        </w:tc>
        <w:tc>
          <w:tcPr>
            <w:tcW w:w="800" w:type="dxa"/>
            <w:vAlign w:val="bottom"/>
          </w:tcPr>
          <w:p>
            <w:pPr>
              <w:ind w:left="200"/>
              <w:spacing w:after="0"/>
              <w:rPr>
                <w:sz w:val="20"/>
                <w:szCs w:val="20"/>
                <w:color w:val="auto"/>
              </w:rPr>
            </w:pPr>
            <w:r>
              <w:rPr>
                <w:rFonts w:ascii="Arial" w:cs="Arial" w:eastAsia="Arial" w:hAnsi="Arial"/>
                <w:sz w:val="16"/>
                <w:szCs w:val="16"/>
                <w:color w:val="auto"/>
              </w:rPr>
              <w:t>$2.91</w:t>
            </w:r>
          </w:p>
        </w:tc>
        <w:tc>
          <w:tcPr>
            <w:tcW w:w="200" w:type="dxa"/>
            <w:vAlign w:val="bottom"/>
            <w:vMerge w:val="continue"/>
          </w:tcPr>
          <w:p>
            <w:pPr>
              <w:spacing w:after="0"/>
              <w:rPr>
                <w:sz w:val="17"/>
                <w:szCs w:val="17"/>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Net income attributable to PFG</w:t>
            </w:r>
          </w:p>
        </w:tc>
        <w:tc>
          <w:tcPr>
            <w:tcW w:w="900" w:type="dxa"/>
            <w:vAlign w:val="bottom"/>
          </w:tcPr>
          <w:p>
            <w:pPr>
              <w:jc w:val="center"/>
              <w:ind w:lef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90"/>
        </w:trPr>
        <w:tc>
          <w:tcPr>
            <w:tcW w:w="4660" w:type="dxa"/>
            <w:vAlign w:val="bottom"/>
          </w:tcPr>
          <w:p>
            <w:pPr>
              <w:ind w:left="160"/>
              <w:spacing w:after="0"/>
              <w:rPr>
                <w:sz w:val="20"/>
                <w:szCs w:val="20"/>
                <w:color w:val="auto"/>
              </w:rPr>
            </w:pPr>
            <w:r>
              <w:rPr>
                <w:rFonts w:ascii="Arial" w:cs="Arial" w:eastAsia="Arial" w:hAnsi="Arial"/>
                <w:sz w:val="16"/>
                <w:szCs w:val="16"/>
                <w:color w:val="auto"/>
              </w:rPr>
              <w:t>Non-GAAP net income attributable to PFG, excluding exited</w:t>
            </w:r>
          </w:p>
        </w:tc>
        <w:tc>
          <w:tcPr>
            <w:tcW w:w="800" w:type="dxa"/>
            <w:vAlign w:val="bottom"/>
            <w:vMerge w:val="restart"/>
          </w:tcPr>
          <w:p>
            <w:pPr>
              <w:ind w:left="200"/>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6"/>
                <w:szCs w:val="16"/>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Non-GAAP net income attributable to PFG,</w:t>
            </w:r>
          </w:p>
        </w:tc>
        <w:tc>
          <w:tcPr>
            <w:tcW w:w="900" w:type="dxa"/>
            <w:vAlign w:val="bottom"/>
            <w:vMerge w:val="restart"/>
          </w:tcPr>
          <w:p>
            <w:pPr>
              <w:jc w:val="center"/>
              <w:ind w:lef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119"/>
        </w:trPr>
        <w:tc>
          <w:tcPr>
            <w:tcW w:w="4660" w:type="dxa"/>
            <w:vAlign w:val="bottom"/>
            <w:vMerge w:val="restart"/>
          </w:tcPr>
          <w:p>
            <w:pPr>
              <w:ind w:left="320"/>
              <w:spacing w:after="0" w:line="230" w:lineRule="exact"/>
              <w:rPr>
                <w:sz w:val="20"/>
                <w:szCs w:val="20"/>
                <w:color w:val="auto"/>
              </w:rPr>
            </w:pPr>
            <w:r>
              <w:rPr>
                <w:rFonts w:ascii="Arial" w:cs="Arial" w:eastAsia="Arial" w:hAnsi="Arial"/>
                <w:sz w:val="16"/>
                <w:szCs w:val="16"/>
                <w:color w:val="auto"/>
              </w:rPr>
              <w:t>business</w:t>
            </w:r>
            <w:r>
              <w:rPr>
                <w:rFonts w:ascii="Arial" w:cs="Arial" w:eastAsia="Arial" w:hAnsi="Arial"/>
                <w:sz w:val="26"/>
                <w:szCs w:val="26"/>
                <w:color w:val="auto"/>
                <w:vertAlign w:val="superscript"/>
              </w:rPr>
              <w:t>1</w:t>
            </w: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540" w:type="dxa"/>
            <w:vAlign w:val="bottom"/>
            <w:vMerge w:val="restart"/>
          </w:tcPr>
          <w:p>
            <w:pPr>
              <w:ind w:left="320"/>
              <w:spacing w:after="0" w:line="230" w:lineRule="exact"/>
              <w:rPr>
                <w:sz w:val="20"/>
                <w:szCs w:val="20"/>
                <w:color w:val="auto"/>
              </w:rPr>
            </w:pPr>
            <w:r>
              <w:rPr>
                <w:rFonts w:ascii="Arial" w:cs="Arial" w:eastAsia="Arial" w:hAnsi="Arial"/>
                <w:sz w:val="16"/>
                <w:szCs w:val="16"/>
                <w:color w:val="auto"/>
              </w:rPr>
              <w:t>excluding exited business</w:t>
            </w:r>
            <w:r>
              <w:rPr>
                <w:rFonts w:ascii="Arial" w:cs="Arial" w:eastAsia="Arial" w:hAnsi="Arial"/>
                <w:sz w:val="26"/>
                <w:szCs w:val="26"/>
                <w:color w:val="auto"/>
                <w:vertAlign w:val="superscript"/>
              </w:rPr>
              <w:t>1</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660" w:type="dxa"/>
            <w:vAlign w:val="bottom"/>
            <w:vMerge w:val="continue"/>
          </w:tcPr>
          <w:p>
            <w:pPr>
              <w:spacing w:after="0"/>
              <w:rPr>
                <w:sz w:val="9"/>
                <w:szCs w:val="9"/>
                <w:color w:val="auto"/>
              </w:rPr>
            </w:pPr>
          </w:p>
        </w:tc>
        <w:tc>
          <w:tcPr>
            <w:tcW w:w="800" w:type="dxa"/>
            <w:vAlign w:val="bottom"/>
            <w:vMerge w:val="restart"/>
          </w:tcPr>
          <w:p>
            <w:pPr>
              <w:ind w:left="200"/>
              <w:spacing w:after="0"/>
              <w:rPr>
                <w:sz w:val="20"/>
                <w:szCs w:val="20"/>
                <w:color w:val="auto"/>
              </w:rPr>
            </w:pPr>
            <w:r>
              <w:rPr>
                <w:rFonts w:ascii="Arial" w:cs="Arial" w:eastAsia="Arial" w:hAnsi="Arial"/>
                <w:sz w:val="16"/>
                <w:szCs w:val="16"/>
                <w:color w:val="auto"/>
              </w:rPr>
              <w:t>$2.22</w:t>
            </w:r>
          </w:p>
        </w:tc>
        <w:tc>
          <w:tcPr>
            <w:tcW w:w="20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900" w:type="dxa"/>
            <w:vAlign w:val="bottom"/>
            <w:vMerge w:val="restart"/>
          </w:tcPr>
          <w:p>
            <w:pPr>
              <w:jc w:val="center"/>
              <w:ind w:lef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28"/>
        </w:trPr>
        <w:tc>
          <w:tcPr>
            <w:tcW w:w="4660" w:type="dxa"/>
            <w:vAlign w:val="bottom"/>
          </w:tcPr>
          <w:p>
            <w:pPr>
              <w:ind w:left="160"/>
              <w:spacing w:after="0" w:line="228" w:lineRule="exact"/>
              <w:rPr>
                <w:sz w:val="20"/>
                <w:szCs w:val="20"/>
                <w:color w:val="auto"/>
              </w:rPr>
            </w:pPr>
            <w:r>
              <w:rPr>
                <w:rFonts w:ascii="Arial" w:cs="Arial" w:eastAsia="Arial" w:hAnsi="Arial"/>
                <w:sz w:val="16"/>
                <w:szCs w:val="16"/>
                <w:color w:val="auto"/>
              </w:rPr>
              <w:t>Non-GAAP operating earnings</w:t>
            </w:r>
            <w:r>
              <w:rPr>
                <w:rFonts w:ascii="Arial" w:cs="Arial" w:eastAsia="Arial" w:hAnsi="Arial"/>
                <w:sz w:val="26"/>
                <w:szCs w:val="26"/>
                <w:color w:val="auto"/>
                <w:vertAlign w:val="superscript"/>
              </w:rPr>
              <w:t>1</w:t>
            </w:r>
          </w:p>
        </w:tc>
        <w:tc>
          <w:tcPr>
            <w:tcW w:w="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540" w:type="dxa"/>
            <w:vAlign w:val="bottom"/>
          </w:tcPr>
          <w:p>
            <w:pPr>
              <w:ind w:left="160"/>
              <w:spacing w:after="0" w:line="228" w:lineRule="exact"/>
              <w:rPr>
                <w:sz w:val="20"/>
                <w:szCs w:val="20"/>
                <w:color w:val="auto"/>
              </w:rPr>
            </w:pPr>
            <w:r>
              <w:rPr>
                <w:rFonts w:ascii="Arial" w:cs="Arial" w:eastAsia="Arial" w:hAnsi="Arial"/>
                <w:sz w:val="16"/>
                <w:szCs w:val="16"/>
                <w:color w:val="auto"/>
              </w:rPr>
              <w:t>Non-GAAP operating earnings</w:t>
            </w:r>
            <w:r>
              <w:rPr>
                <w:rFonts w:ascii="Arial" w:cs="Arial" w:eastAsia="Arial" w:hAnsi="Arial"/>
                <w:sz w:val="26"/>
                <w:szCs w:val="26"/>
                <w:color w:val="auto"/>
                <w:vertAlign w:val="superscript"/>
              </w:rPr>
              <w:t>1</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60"/>
              <w:spacing w:after="0"/>
              <w:rPr>
                <w:sz w:val="20"/>
                <w:szCs w:val="20"/>
                <w:color w:val="auto"/>
              </w:rPr>
            </w:pPr>
            <w:r>
              <w:rPr>
                <w:rFonts w:ascii="Arial" w:cs="Arial" w:eastAsia="Arial" w:hAnsi="Arial"/>
                <w:sz w:val="16"/>
                <w:szCs w:val="16"/>
                <w:color w:val="auto"/>
              </w:rPr>
              <w:t>Non-GAAP operating earnings excluding significant</w:t>
            </w:r>
          </w:p>
        </w:tc>
        <w:tc>
          <w:tcPr>
            <w:tcW w:w="800" w:type="dxa"/>
            <w:vAlign w:val="bottom"/>
            <w:vMerge w:val="restart"/>
          </w:tcPr>
          <w:p>
            <w:pPr>
              <w:ind w:left="200"/>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16"/>
                <w:szCs w:val="16"/>
                <w:color w:val="auto"/>
              </w:rPr>
            </w:pPr>
          </w:p>
        </w:tc>
        <w:tc>
          <w:tcPr>
            <w:tcW w:w="3540" w:type="dxa"/>
            <w:vAlign w:val="bottom"/>
          </w:tcPr>
          <w:p>
            <w:pPr>
              <w:ind w:left="160"/>
              <w:spacing w:after="0"/>
              <w:rPr>
                <w:sz w:val="20"/>
                <w:szCs w:val="20"/>
                <w:color w:val="auto"/>
              </w:rPr>
            </w:pPr>
            <w:r>
              <w:rPr>
                <w:rFonts w:ascii="Arial" w:cs="Arial" w:eastAsia="Arial" w:hAnsi="Arial"/>
                <w:sz w:val="16"/>
                <w:szCs w:val="16"/>
                <w:color w:val="auto"/>
              </w:rPr>
              <w:t>Non-GAAP operating earnings excluding</w:t>
            </w:r>
          </w:p>
        </w:tc>
        <w:tc>
          <w:tcPr>
            <w:tcW w:w="900" w:type="dxa"/>
            <w:vAlign w:val="bottom"/>
            <w:vMerge w:val="restart"/>
          </w:tcPr>
          <w:p>
            <w:pPr>
              <w:jc w:val="center"/>
              <w:ind w:left="1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119"/>
        </w:trPr>
        <w:tc>
          <w:tcPr>
            <w:tcW w:w="4660" w:type="dxa"/>
            <w:vAlign w:val="bottom"/>
            <w:vMerge w:val="restart"/>
          </w:tcPr>
          <w:p>
            <w:pPr>
              <w:ind w:left="320"/>
              <w:spacing w:after="0"/>
              <w:rPr>
                <w:sz w:val="20"/>
                <w:szCs w:val="20"/>
                <w:color w:val="auto"/>
              </w:rPr>
            </w:pPr>
            <w:r>
              <w:rPr>
                <w:rFonts w:ascii="Arial" w:cs="Arial" w:eastAsia="Arial" w:hAnsi="Arial"/>
                <w:sz w:val="16"/>
                <w:szCs w:val="16"/>
                <w:color w:val="auto"/>
              </w:rPr>
              <w:t>variances</w:t>
            </w:r>
            <w:r>
              <w:rPr>
                <w:rFonts w:ascii="Arial" w:cs="Arial" w:eastAsia="Arial" w:hAnsi="Arial"/>
                <w:sz w:val="26"/>
                <w:szCs w:val="26"/>
                <w:color w:val="auto"/>
                <w:vertAlign w:val="superscript"/>
              </w:rPr>
              <w:t>2</w:t>
            </w: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540" w:type="dxa"/>
            <w:vAlign w:val="bottom"/>
            <w:vMerge w:val="restart"/>
          </w:tcPr>
          <w:p>
            <w:pPr>
              <w:ind w:left="320"/>
              <w:spacing w:after="0"/>
              <w:rPr>
                <w:sz w:val="20"/>
                <w:szCs w:val="20"/>
                <w:color w:val="auto"/>
              </w:rPr>
            </w:pPr>
            <w:r>
              <w:rPr>
                <w:rFonts w:ascii="Arial" w:cs="Arial" w:eastAsia="Arial" w:hAnsi="Arial"/>
                <w:sz w:val="16"/>
                <w:szCs w:val="16"/>
                <w:color w:val="auto"/>
              </w:rPr>
              <w:t>significant variances</w:t>
            </w:r>
            <w:r>
              <w:rPr>
                <w:rFonts w:ascii="Arial" w:cs="Arial" w:eastAsia="Arial" w:hAnsi="Arial"/>
                <w:sz w:val="26"/>
                <w:szCs w:val="26"/>
                <w:color w:val="auto"/>
                <w:vertAlign w:val="superscript"/>
              </w:rPr>
              <w:t>2</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Third Quarter 2026 Highlights</w:t>
      </w:r>
    </w:p>
    <w:p>
      <w:pPr>
        <w:spacing w:after="0" w:line="137" w:lineRule="exact"/>
        <w:rPr>
          <w:sz w:val="20"/>
          <w:szCs w:val="20"/>
          <w:color w:val="auto"/>
        </w:rPr>
      </w:pPr>
    </w:p>
    <w:p>
      <w:pPr>
        <w:ind w:left="340" w:hanging="332"/>
        <w:spacing w:after="0" w:line="216" w:lineRule="auto"/>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Non-GAAP operating earnings per diluted share, excluding significant variances</w:t>
      </w:r>
      <w:r>
        <w:rPr>
          <w:rFonts w:ascii="Arial" w:cs="Arial" w:eastAsia="Arial" w:hAnsi="Arial"/>
          <w:sz w:val="32"/>
          <w:szCs w:val="32"/>
          <w:color w:val="auto"/>
          <w:vertAlign w:val="superscript"/>
        </w:rPr>
        <w:t>2</w:t>
      </w:r>
      <w:r>
        <w:rPr>
          <w:rFonts w:ascii="Arial" w:cs="Arial" w:eastAsia="Arial" w:hAnsi="Arial"/>
          <w:sz w:val="20"/>
          <w:szCs w:val="20"/>
          <w:color w:val="auto"/>
        </w:rPr>
        <w:t xml:space="preserve"> of $2.49 increased 7% over prior year quarter; reported non-GAAP operating earnings per diluted share increased 6%</w:t>
      </w:r>
    </w:p>
    <w:p>
      <w:pPr>
        <w:spacing w:after="0" w:line="118" w:lineRule="exact"/>
        <w:rPr>
          <w:rFonts w:ascii="Arial" w:cs="Arial" w:eastAsia="Arial" w:hAnsi="Arial"/>
          <w:sz w:val="20"/>
          <w:szCs w:val="20"/>
          <w:b w:val="1"/>
          <w:bCs w:val="1"/>
          <w:color w:val="auto"/>
        </w:rPr>
      </w:pPr>
    </w:p>
    <w:p>
      <w:pPr>
        <w:ind w:left="340" w:right="420" w:hanging="332"/>
        <w:spacing w:after="0" w:line="257" w:lineRule="auto"/>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Returned $429 million of capital to shareholders, including $250 million of share repurchases and $179 million of common stock dividends</w:t>
      </w:r>
    </w:p>
    <w:p>
      <w:pPr>
        <w:spacing w:after="0" w:line="101" w:lineRule="exact"/>
        <w:rPr>
          <w:rFonts w:ascii="Arial" w:cs="Arial" w:eastAsia="Arial" w:hAnsi="Arial"/>
          <w:sz w:val="20"/>
          <w:szCs w:val="20"/>
          <w:b w:val="1"/>
          <w:bCs w:val="1"/>
          <w:color w:val="auto"/>
        </w:rPr>
      </w:pPr>
    </w:p>
    <w:p>
      <w:pPr>
        <w:ind w:left="340" w:right="180" w:hanging="332"/>
        <w:spacing w:after="0" w:line="241" w:lineRule="auto"/>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Announced common stock dividend increase of $0.01 to $0.85 per share in the fourth quarter 2026; representing an 8% increase over the fourth quarter 2025 and 7% on a trailing twelve-month basis</w:t>
      </w:r>
    </w:p>
    <w:p>
      <w:pPr>
        <w:spacing w:after="0" w:line="117" w:lineRule="exact"/>
        <w:rPr>
          <w:rFonts w:ascii="Arial" w:cs="Arial" w:eastAsia="Arial" w:hAnsi="Arial"/>
          <w:sz w:val="20"/>
          <w:szCs w:val="20"/>
          <w:b w:val="1"/>
          <w:bCs w:val="1"/>
          <w:color w:val="auto"/>
        </w:rPr>
      </w:pPr>
    </w:p>
    <w:p>
      <w:pPr>
        <w:ind w:left="340" w:right="120" w:hanging="332"/>
        <w:spacing w:after="0" w:line="257" w:lineRule="auto"/>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Assets under management (AUM) of $785 billion, which is included in assets under administration (AUA) of $1.8 trillion</w:t>
      </w:r>
    </w:p>
    <w:p>
      <w:pPr>
        <w:spacing w:after="0" w:line="101" w:lineRule="exact"/>
        <w:rPr>
          <w:rFonts w:ascii="Arial" w:cs="Arial" w:eastAsia="Arial" w:hAnsi="Arial"/>
          <w:sz w:val="20"/>
          <w:szCs w:val="20"/>
          <w:b w:val="1"/>
          <w:bCs w:val="1"/>
          <w:color w:val="auto"/>
        </w:rPr>
      </w:pPr>
    </w:p>
    <w:p>
      <w:pPr>
        <w:ind w:left="340" w:hanging="332"/>
        <w:spacing w:after="0"/>
        <w:tabs>
          <w:tab w:leader="none" w:pos="3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Strong financial position with $1.5 billion of excess and available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color w:val="004C97"/>
        </w:rPr>
        <w:t>Deanna Strable, Chair, President and CEO of Principal</w:t>
      </w:r>
      <w:r>
        <w:rPr>
          <w:rFonts w:ascii="Arial" w:cs="Arial" w:eastAsia="Arial" w:hAnsi="Arial"/>
          <w:sz w:val="29"/>
          <w:szCs w:val="29"/>
          <w:b w:val="1"/>
          <w:bCs w:val="1"/>
          <w:color w:val="004C97"/>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-622300</wp:posOffset>
            </wp:positionV>
            <wp:extent cx="2425700" cy="402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5700" cy="4029075"/>
                    </a:xfrm>
                    <a:prstGeom prst="rect">
                      <a:avLst/>
                    </a:prstGeom>
                    <a:noFill/>
                  </pic:spPr>
                </pic:pic>
              </a:graphicData>
            </a:graphic>
          </wp:anchor>
        </w:drawing>
      </w:r>
    </w:p>
    <w:p>
      <w:pPr>
        <w:spacing w:after="0" w:line="17" w:lineRule="exact"/>
        <w:rPr>
          <w:sz w:val="20"/>
          <w:szCs w:val="20"/>
          <w:color w:val="auto"/>
        </w:rPr>
      </w:pPr>
    </w:p>
    <w:p>
      <w:pPr>
        <w:ind w:right="120"/>
        <w:spacing w:after="0" w:line="241" w:lineRule="auto"/>
        <w:rPr>
          <w:sz w:val="20"/>
          <w:szCs w:val="20"/>
          <w:color w:val="auto"/>
        </w:rPr>
      </w:pPr>
      <w:r>
        <w:rPr>
          <w:rFonts w:ascii="Arial" w:cs="Arial" w:eastAsia="Arial" w:hAnsi="Arial"/>
          <w:sz w:val="19"/>
          <w:szCs w:val="19"/>
          <w:color w:val="auto"/>
        </w:rPr>
        <w:t>“Our third-quarter results demonstrate the strength of our diversified business and the progress we’re making against our strategic priorities. We grew earnings per share, continued to build momentum in the markets where we’re focused, and returned $429 million to shareholders. We’re seeing the benefits of our focus on areas where our expertise, differentiated solutions, and strong customer relationships position us to win.</w:t>
      </w:r>
    </w:p>
    <w:p>
      <w:pPr>
        <w:spacing w:after="0" w:line="179"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As the environment evolves, our priorities remain clear. We’re confident in delivering on our 2026 outlook and continuing to create long-term value for our customers, employees, and shareholders.”</w:t>
      </w:r>
    </w:p>
    <w:p>
      <w:pPr>
        <w:spacing w:after="0" w:line="200" w:lineRule="exact"/>
        <w:rPr>
          <w:sz w:val="20"/>
          <w:szCs w:val="20"/>
          <w:color w:val="auto"/>
        </w:rPr>
      </w:pPr>
    </w:p>
    <w:p>
      <w:pPr>
        <w:sectPr>
          <w:pgSz w:w="11900" w:h="16838" w:orient="portrait"/>
          <w:cols w:equalWidth="0" w:num="2">
            <w:col w:w="7160" w:space="360"/>
            <w:col w:w="372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firstLine="8"/>
        <w:spacing w:after="0" w:line="193" w:lineRule="auto"/>
        <w:tabs>
          <w:tab w:leader="none" w:pos="106"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Use of non-GAAP financial measures and their reconciliations to the most directly comparable GAAP measures are included in this release. Non-GAAP operating earnings for total company is after tax. Beginning 3Q 2026, impacts of the actuarial assumption review are excluded from non-GAAP operating earnings.</w:t>
      </w:r>
    </w:p>
    <w:p>
      <w:pPr>
        <w:ind w:right="140"/>
        <w:spacing w:after="0" w:line="197"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The total company impact of significant variances is after tax. See Exhibit 1 for details on the impact of 3Q 2026 and 3Q 2025 significant variances on net income attributable to PFG; non-GAAP net income attributable to PFG, excluding exited business; and non-GAAP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004C97"/>
        </w:rPr>
        <w:t>Third Quarter Enterprise Results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004C97"/>
        </w:rPr>
        <w:t>In millions except percentages, earnings per share, or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 (loss) attributable to PFG</w:t>
      </w:r>
    </w:p>
    <w:p>
      <w:pPr>
        <w:spacing w:after="0" w:line="90" w:lineRule="exact"/>
        <w:rPr>
          <w:sz w:val="20"/>
          <w:szCs w:val="20"/>
          <w:color w:val="auto"/>
        </w:rPr>
      </w:pPr>
    </w:p>
    <w:p>
      <w:pPr>
        <w:ind w:left="260" w:right="140" w:hanging="161"/>
        <w:spacing w:after="0" w:line="271" w:lineRule="auto"/>
        <w:rPr>
          <w:sz w:val="20"/>
          <w:szCs w:val="20"/>
          <w:color w:val="auto"/>
        </w:rPr>
      </w:pPr>
      <w:r>
        <w:rPr>
          <w:rFonts w:ascii="Arial" w:cs="Arial" w:eastAsia="Arial" w:hAnsi="Arial"/>
          <w:sz w:val="18"/>
          <w:szCs w:val="18"/>
          <w:color w:val="auto"/>
        </w:rPr>
        <w:t>Non-GAAP net income attributable to PFG, excluding exited business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Non-GAAP operating earnings</w:t>
      </w:r>
    </w:p>
    <w:p>
      <w:pPr>
        <w:spacing w:after="0" w:line="90" w:lineRule="exact"/>
        <w:rPr>
          <w:sz w:val="20"/>
          <w:szCs w:val="20"/>
          <w:color w:val="auto"/>
        </w:rPr>
      </w:pPr>
    </w:p>
    <w:p>
      <w:pPr>
        <w:ind w:left="260" w:right="240" w:hanging="161"/>
        <w:spacing w:after="0" w:line="287" w:lineRule="auto"/>
        <w:rPr>
          <w:sz w:val="20"/>
          <w:szCs w:val="20"/>
          <w:color w:val="auto"/>
        </w:rPr>
      </w:pPr>
      <w:r>
        <w:rPr>
          <w:rFonts w:ascii="Arial" w:cs="Arial" w:eastAsia="Arial" w:hAnsi="Arial"/>
          <w:sz w:val="18"/>
          <w:szCs w:val="18"/>
          <w:color w:val="auto"/>
        </w:rPr>
        <w:t>Non-GAAP operating earnings, excluding significant variances</w:t>
      </w:r>
      <w:r>
        <w:rPr>
          <w:rFonts w:ascii="Arial" w:cs="Arial" w:eastAsia="Arial" w:hAnsi="Arial"/>
          <w:sz w:val="29"/>
          <w:szCs w:val="29"/>
          <w:color w:val="auto"/>
          <w:vertAlign w:val="superscript"/>
        </w:rPr>
        <w:t>2</w:t>
      </w:r>
    </w:p>
    <w:p>
      <w:pPr>
        <w:spacing w:after="0" w:line="2" w:lineRule="exact"/>
        <w:rPr>
          <w:sz w:val="20"/>
          <w:szCs w:val="20"/>
          <w:color w:val="auto"/>
        </w:rPr>
      </w:pPr>
    </w:p>
    <w:p>
      <w:pPr>
        <w:ind w:left="100" w:right="1300"/>
        <w:spacing w:after="0" w:line="344" w:lineRule="auto"/>
        <w:rPr>
          <w:sz w:val="20"/>
          <w:szCs w:val="20"/>
          <w:color w:val="auto"/>
        </w:rPr>
      </w:pPr>
      <w:r>
        <w:rPr>
          <w:rFonts w:ascii="Arial" w:cs="Arial" w:eastAsia="Arial" w:hAnsi="Arial"/>
          <w:sz w:val="18"/>
          <w:szCs w:val="18"/>
          <w:b w:val="1"/>
          <w:bCs w:val="1"/>
          <w:color w:val="auto"/>
        </w:rPr>
        <w:t xml:space="preserve">Diluted earnings per common share </w:t>
      </w:r>
      <w:r>
        <w:rPr>
          <w:rFonts w:ascii="Arial" w:cs="Arial" w:eastAsia="Arial" w:hAnsi="Arial"/>
          <w:sz w:val="18"/>
          <w:szCs w:val="18"/>
          <w:color w:val="auto"/>
        </w:rPr>
        <w:t>Net income (loss) attributable to PFG</w:t>
      </w:r>
    </w:p>
    <w:p>
      <w:pPr>
        <w:spacing w:after="0" w:line="1" w:lineRule="exact"/>
        <w:rPr>
          <w:sz w:val="20"/>
          <w:szCs w:val="20"/>
          <w:color w:val="auto"/>
        </w:rPr>
      </w:pPr>
    </w:p>
    <w:p>
      <w:pPr>
        <w:ind w:left="260" w:right="140" w:hanging="161"/>
        <w:spacing w:after="0" w:line="271" w:lineRule="auto"/>
        <w:rPr>
          <w:sz w:val="20"/>
          <w:szCs w:val="20"/>
          <w:color w:val="auto"/>
        </w:rPr>
      </w:pPr>
      <w:r>
        <w:rPr>
          <w:rFonts w:ascii="Arial" w:cs="Arial" w:eastAsia="Arial" w:hAnsi="Arial"/>
          <w:sz w:val="18"/>
          <w:szCs w:val="18"/>
          <w:color w:val="auto"/>
        </w:rPr>
        <w:t>Non-GAAP net income attributable to PFG, excluding exited business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Non-GAAP operating earnings</w:t>
      </w:r>
    </w:p>
    <w:p>
      <w:pPr>
        <w:spacing w:after="0" w:line="90" w:lineRule="exact"/>
        <w:rPr>
          <w:sz w:val="20"/>
          <w:szCs w:val="20"/>
          <w:color w:val="auto"/>
        </w:rPr>
      </w:pPr>
    </w:p>
    <w:p>
      <w:pPr>
        <w:ind w:left="260" w:right="240" w:hanging="161"/>
        <w:spacing w:after="0" w:line="288" w:lineRule="auto"/>
        <w:rPr>
          <w:sz w:val="20"/>
          <w:szCs w:val="20"/>
          <w:color w:val="auto"/>
        </w:rPr>
      </w:pPr>
      <w:r>
        <w:rPr>
          <w:rFonts w:ascii="Arial" w:cs="Arial" w:eastAsia="Arial" w:hAnsi="Arial"/>
          <w:sz w:val="18"/>
          <w:szCs w:val="18"/>
          <w:color w:val="auto"/>
        </w:rPr>
        <w:t>Non-GAAP operating earnings, excluding significant variances</w:t>
      </w:r>
      <w:r>
        <w:rPr>
          <w:rFonts w:ascii="Arial" w:cs="Arial" w:eastAsia="Arial" w:hAnsi="Arial"/>
          <w:sz w:val="29"/>
          <w:szCs w:val="29"/>
          <w:color w:val="auto"/>
          <w:vertAlign w:val="superscript"/>
        </w:rPr>
        <w:t>2</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Assets under administration (billions)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Assets under management (billions)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AUM net cash flow (billions)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900" w:type="dxa"/>
            <w:vAlign w:val="bottom"/>
            <w:gridSpan w:val="3"/>
          </w:tcPr>
          <w:p>
            <w:pPr>
              <w:ind w:left="580"/>
              <w:spacing w:after="0"/>
              <w:rPr>
                <w:sz w:val="20"/>
                <w:szCs w:val="20"/>
                <w:color w:val="auto"/>
              </w:rPr>
            </w:pPr>
            <w:r>
              <w:rPr>
                <w:rFonts w:ascii="Arial" w:cs="Arial" w:eastAsia="Arial" w:hAnsi="Arial"/>
                <w:sz w:val="18"/>
                <w:szCs w:val="18"/>
                <w:color w:val="FFFFFF"/>
              </w:rPr>
              <w:t>Three Months Ended,</w:t>
            </w:r>
          </w:p>
        </w:tc>
        <w:tc>
          <w:tcPr>
            <w:tcW w:w="2940" w:type="dxa"/>
            <w:vAlign w:val="bottom"/>
            <w:gridSpan w:val="3"/>
          </w:tcPr>
          <w:p>
            <w:pPr>
              <w:jc w:val="right"/>
              <w:ind w:right="230"/>
              <w:spacing w:after="0"/>
              <w:rPr>
                <w:sz w:val="20"/>
                <w:szCs w:val="20"/>
                <w:color w:val="auto"/>
              </w:rPr>
            </w:pPr>
            <w:r>
              <w:rPr>
                <w:rFonts w:ascii="Arial" w:cs="Arial" w:eastAsia="Arial" w:hAnsi="Arial"/>
                <w:sz w:val="18"/>
                <w:szCs w:val="18"/>
                <w:color w:val="FFFFFF"/>
              </w:rPr>
              <w:t>Trailing Twelve Months,</w:t>
            </w:r>
          </w:p>
        </w:tc>
      </w:tr>
      <w:tr>
        <w:trPr>
          <w:trHeight w:val="297"/>
        </w:trPr>
        <w:tc>
          <w:tcPr>
            <w:tcW w:w="800" w:type="dxa"/>
            <w:vAlign w:val="bottom"/>
          </w:tcPr>
          <w:p>
            <w:pPr>
              <w:jc w:val="center"/>
              <w:ind w:right="30"/>
              <w:spacing w:after="0"/>
              <w:rPr>
                <w:sz w:val="20"/>
                <w:szCs w:val="20"/>
                <w:color w:val="auto"/>
              </w:rPr>
            </w:pPr>
            <w:r>
              <w:rPr>
                <w:rFonts w:ascii="Arial" w:cs="Arial" w:eastAsia="Arial" w:hAnsi="Arial"/>
                <w:sz w:val="18"/>
                <w:szCs w:val="18"/>
                <w:color w:val="FFFFFF"/>
                <w:w w:val="99"/>
              </w:rPr>
              <w:t>3Q26</w:t>
            </w:r>
          </w:p>
        </w:tc>
        <w:tc>
          <w:tcPr>
            <w:tcW w:w="1040" w:type="dxa"/>
            <w:vAlign w:val="bottom"/>
          </w:tcPr>
          <w:p>
            <w:pPr>
              <w:jc w:val="center"/>
              <w:spacing w:after="0"/>
              <w:rPr>
                <w:sz w:val="20"/>
                <w:szCs w:val="20"/>
                <w:color w:val="auto"/>
              </w:rPr>
            </w:pPr>
            <w:r>
              <w:rPr>
                <w:rFonts w:ascii="Arial" w:cs="Arial" w:eastAsia="Arial" w:hAnsi="Arial"/>
                <w:sz w:val="18"/>
                <w:szCs w:val="18"/>
                <w:color w:val="FFFFFF"/>
                <w:w w:val="99"/>
              </w:rPr>
              <w:t>3Q25</w:t>
            </w:r>
          </w:p>
        </w:tc>
        <w:tc>
          <w:tcPr>
            <w:tcW w:w="1060" w:type="dxa"/>
            <w:vAlign w:val="bottom"/>
          </w:tcPr>
          <w:p>
            <w:pPr>
              <w:jc w:val="center"/>
              <w:spacing w:after="0"/>
              <w:rPr>
                <w:sz w:val="20"/>
                <w:szCs w:val="20"/>
                <w:color w:val="auto"/>
              </w:rPr>
            </w:pPr>
            <w:r>
              <w:rPr>
                <w:rFonts w:ascii="Arial" w:cs="Arial" w:eastAsia="Arial" w:hAnsi="Arial"/>
                <w:sz w:val="18"/>
                <w:szCs w:val="18"/>
                <w:color w:val="FFFFFF"/>
              </w:rPr>
              <w:t>Change</w:t>
            </w:r>
          </w:p>
        </w:tc>
        <w:tc>
          <w:tcPr>
            <w:tcW w:w="1020" w:type="dxa"/>
            <w:vAlign w:val="bottom"/>
          </w:tcPr>
          <w:p>
            <w:pPr>
              <w:jc w:val="center"/>
              <w:ind w:left="10"/>
              <w:spacing w:after="0"/>
              <w:rPr>
                <w:sz w:val="20"/>
                <w:szCs w:val="20"/>
                <w:color w:val="auto"/>
              </w:rPr>
            </w:pPr>
            <w:r>
              <w:rPr>
                <w:rFonts w:ascii="Arial" w:cs="Arial" w:eastAsia="Arial" w:hAnsi="Arial"/>
                <w:sz w:val="18"/>
                <w:szCs w:val="18"/>
                <w:color w:val="FFFFFF"/>
                <w:w w:val="99"/>
              </w:rPr>
              <w:t>3Q26</w:t>
            </w:r>
          </w:p>
        </w:tc>
        <w:tc>
          <w:tcPr>
            <w:tcW w:w="1080" w:type="dxa"/>
            <w:vAlign w:val="bottom"/>
          </w:tcPr>
          <w:p>
            <w:pPr>
              <w:jc w:val="center"/>
              <w:ind w:right="70"/>
              <w:spacing w:after="0"/>
              <w:rPr>
                <w:sz w:val="20"/>
                <w:szCs w:val="20"/>
                <w:color w:val="auto"/>
              </w:rPr>
            </w:pPr>
            <w:r>
              <w:rPr>
                <w:rFonts w:ascii="Arial" w:cs="Arial" w:eastAsia="Arial" w:hAnsi="Arial"/>
                <w:sz w:val="18"/>
                <w:szCs w:val="18"/>
                <w:color w:val="FFFFFF"/>
                <w:w w:val="99"/>
              </w:rPr>
              <w:t>3Q25</w:t>
            </w:r>
          </w:p>
        </w:tc>
        <w:tc>
          <w:tcPr>
            <w:tcW w:w="840" w:type="dxa"/>
            <w:vAlign w:val="bottom"/>
          </w:tcPr>
          <w:p>
            <w:pPr>
              <w:jc w:val="right"/>
              <w:spacing w:after="0"/>
              <w:rPr>
                <w:sz w:val="20"/>
                <w:szCs w:val="20"/>
                <w:color w:val="auto"/>
              </w:rPr>
            </w:pPr>
            <w:r>
              <w:rPr>
                <w:rFonts w:ascii="Arial" w:cs="Arial" w:eastAsia="Arial" w:hAnsi="Arial"/>
                <w:sz w:val="18"/>
                <w:szCs w:val="18"/>
                <w:color w:val="FFFFFF"/>
              </w:rPr>
              <w:t>Change</w:t>
            </w:r>
          </w:p>
        </w:tc>
      </w:tr>
      <w:tr>
        <w:trPr>
          <w:trHeight w:val="311"/>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8"/>
              </w:rPr>
              <w:t>$631.9</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8"/>
              </w:rPr>
              <w:t>$213.8</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N/M</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$1,976.9</w:t>
            </w: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9"/>
              </w:rPr>
              <w:t>$1,573.5</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405"/>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8"/>
              </w:rPr>
              <w:t>$354.8</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8"/>
              </w:rPr>
              <w:t>$465.6</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$1,700.2</w:t>
            </w: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9"/>
              </w:rPr>
              <w:t>$1,550.8</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392"/>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8"/>
              </w:rPr>
              <w:t>$481.8</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8"/>
              </w:rPr>
              <w:t>$473.7</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$1,972.9</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$1,825.6</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418"/>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8"/>
              </w:rPr>
              <w:t>$540.6</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8"/>
              </w:rPr>
              <w:t>$523.3</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$2,046.7</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$1,915.7</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823"/>
        </w:trPr>
        <w:tc>
          <w:tcPr>
            <w:tcW w:w="800" w:type="dxa"/>
            <w:vAlign w:val="bottom"/>
          </w:tcPr>
          <w:p>
            <w:pPr>
              <w:jc w:val="center"/>
              <w:ind w:right="10"/>
              <w:spacing w:after="0"/>
              <w:rPr>
                <w:sz w:val="20"/>
                <w:szCs w:val="20"/>
                <w:color w:val="auto"/>
              </w:rPr>
            </w:pPr>
            <w:r>
              <w:rPr>
                <w:rFonts w:ascii="Arial" w:cs="Arial" w:eastAsia="Arial" w:hAnsi="Arial"/>
                <w:sz w:val="18"/>
                <w:szCs w:val="18"/>
                <w:color w:val="auto"/>
              </w:rPr>
              <w:t>$2.91</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rPr>
              <w:t>$0.95</w:t>
            </w:r>
          </w:p>
        </w:tc>
        <w:tc>
          <w:tcPr>
            <w:tcW w:w="1060" w:type="dxa"/>
            <w:vAlign w:val="bottom"/>
          </w:tcPr>
          <w:p>
            <w:pPr>
              <w:ind w:left="400"/>
              <w:spacing w:after="0"/>
              <w:rPr>
                <w:sz w:val="20"/>
                <w:szCs w:val="20"/>
                <w:color w:val="auto"/>
              </w:rPr>
            </w:pPr>
            <w:r>
              <w:rPr>
                <w:rFonts w:ascii="Arial" w:cs="Arial" w:eastAsia="Arial" w:hAnsi="Arial"/>
                <w:sz w:val="18"/>
                <w:szCs w:val="18"/>
                <w:color w:val="auto"/>
              </w:rPr>
              <w:t>N/M</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800" w:type="dxa"/>
            <w:vAlign w:val="bottom"/>
          </w:tcPr>
          <w:p>
            <w:pPr>
              <w:jc w:val="center"/>
              <w:ind w:right="10"/>
              <w:spacing w:after="0"/>
              <w:rPr>
                <w:sz w:val="20"/>
                <w:szCs w:val="20"/>
                <w:color w:val="auto"/>
              </w:rPr>
            </w:pPr>
            <w:r>
              <w:rPr>
                <w:rFonts w:ascii="Arial" w:cs="Arial" w:eastAsia="Arial" w:hAnsi="Arial"/>
                <w:sz w:val="18"/>
                <w:szCs w:val="18"/>
                <w:color w:val="auto"/>
              </w:rPr>
              <w:t>$1.64</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rPr>
              <w:t>$2.06</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9"/>
              </w:rPr>
              <w:t>(20)%</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2"/>
        </w:trPr>
        <w:tc>
          <w:tcPr>
            <w:tcW w:w="800" w:type="dxa"/>
            <w:vAlign w:val="bottom"/>
          </w:tcPr>
          <w:p>
            <w:pPr>
              <w:jc w:val="center"/>
              <w:ind w:right="10"/>
              <w:spacing w:after="0"/>
              <w:rPr>
                <w:sz w:val="20"/>
                <w:szCs w:val="20"/>
                <w:color w:val="auto"/>
              </w:rPr>
            </w:pPr>
            <w:r>
              <w:rPr>
                <w:rFonts w:ascii="Arial" w:cs="Arial" w:eastAsia="Arial" w:hAnsi="Arial"/>
                <w:sz w:val="18"/>
                <w:szCs w:val="18"/>
                <w:color w:val="auto"/>
              </w:rPr>
              <w:t>$2.22</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rPr>
              <w:t>$2.10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800" w:type="dxa"/>
            <w:vAlign w:val="bottom"/>
          </w:tcPr>
          <w:p>
            <w:pPr>
              <w:jc w:val="center"/>
              <w:ind w:right="10"/>
              <w:spacing w:after="0"/>
              <w:rPr>
                <w:sz w:val="20"/>
                <w:szCs w:val="20"/>
                <w:color w:val="auto"/>
              </w:rPr>
            </w:pPr>
            <w:r>
              <w:rPr>
                <w:rFonts w:ascii="Arial" w:cs="Arial" w:eastAsia="Arial" w:hAnsi="Arial"/>
                <w:sz w:val="18"/>
                <w:szCs w:val="18"/>
                <w:color w:val="auto"/>
              </w:rPr>
              <w:t>$2.49</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rPr>
              <w:t>$2.32</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34"/>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$1,840.3</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9"/>
              </w:rPr>
              <w:t>$1,792.5</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800" w:type="dxa"/>
            <w:vAlign w:val="bottom"/>
          </w:tcPr>
          <w:p>
            <w:pPr>
              <w:jc w:val="center"/>
              <w:ind w:right="10"/>
              <w:spacing w:after="0"/>
              <w:rPr>
                <w:sz w:val="20"/>
                <w:szCs w:val="20"/>
                <w:color w:val="auto"/>
              </w:rPr>
            </w:pPr>
            <w:r>
              <w:rPr>
                <w:rFonts w:ascii="Arial" w:cs="Arial" w:eastAsia="Arial" w:hAnsi="Arial"/>
                <w:sz w:val="18"/>
                <w:szCs w:val="18"/>
                <w:color w:val="auto"/>
                <w:w w:val="98"/>
              </w:rPr>
              <w:t>$785.0</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8"/>
              </w:rPr>
              <w:t>$784.3</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800" w:type="dxa"/>
            <w:vAlign w:val="bottom"/>
          </w:tcPr>
          <w:p>
            <w:pPr>
              <w:jc w:val="center"/>
              <w:ind w:right="10"/>
              <w:spacing w:after="0"/>
              <w:rPr>
                <w:sz w:val="20"/>
                <w:szCs w:val="20"/>
                <w:color w:val="auto"/>
              </w:rPr>
            </w:pPr>
            <w:r>
              <w:rPr>
                <w:rFonts w:ascii="Arial" w:cs="Arial" w:eastAsia="Arial" w:hAnsi="Arial"/>
                <w:sz w:val="18"/>
                <w:szCs w:val="18"/>
                <w:color w:val="auto"/>
              </w:rPr>
              <w:t>$(10.7)</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6"/>
              </w:rPr>
              <w:t>$0.4</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8"/>
              </w:rPr>
              <w:t>$(11.1)</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80" w:type="dxa"/>
            <w:vAlign w:val="bottom"/>
          </w:tcPr>
          <w:p>
            <w:pPr>
              <w:jc w:val="center"/>
              <w:spacing w:after="0"/>
              <w:rPr>
                <w:sz w:val="20"/>
                <w:szCs w:val="20"/>
                <w:color w:val="auto"/>
              </w:rPr>
            </w:pPr>
            <w:r>
              <w:rPr>
                <w:rFonts w:ascii="Arial" w:cs="Arial" w:eastAsia="Arial" w:hAnsi="Arial"/>
                <w:sz w:val="18"/>
                <w:szCs w:val="18"/>
                <w:color w:val="auto"/>
              </w:rPr>
              <w:t>$(7.8)</w:t>
            </w: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-3387725</wp:posOffset>
            </wp:positionV>
            <wp:extent cx="69951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400"/>
            <w:col w:w="6200"/>
          </w:cols>
          <w:pgMar w:left="320" w:top="899" w:right="49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Third Quarter Segment Highlights (compared to 3Q25)</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and Income Solutions</w:t>
      </w:r>
    </w:p>
    <w:p>
      <w:pPr>
        <w:spacing w:after="0" w:line="2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9"/>
          <w:szCs w:val="19"/>
          <w:b w:val="1"/>
          <w:bCs w:val="1"/>
          <w:color w:val="auto"/>
        </w:rPr>
      </w:pPr>
      <w:r>
        <w:rPr>
          <w:rFonts w:ascii="Arial" w:cs="Arial" w:eastAsia="Arial" w:hAnsi="Arial"/>
          <w:sz w:val="19"/>
          <w:szCs w:val="19"/>
          <w:color w:val="auto"/>
        </w:rPr>
        <w:t>Recurring deposits of $13 billion, up 8%. PRT sales of $0.9 billion.</w:t>
      </w:r>
    </w:p>
    <w:p>
      <w:pPr>
        <w:spacing w:after="0" w:line="254" w:lineRule="exact"/>
        <w:rPr>
          <w:rFonts w:ascii="Arial" w:cs="Arial" w:eastAsia="Arial" w:hAnsi="Arial"/>
          <w:sz w:val="19"/>
          <w:szCs w:val="19"/>
          <w:b w:val="1"/>
          <w:bCs w:val="1"/>
          <w:color w:val="auto"/>
        </w:rPr>
      </w:pPr>
    </w:p>
    <w:p>
      <w:pPr>
        <w:ind w:left="660" w:hanging="328"/>
        <w:spacing w:after="0"/>
        <w:tabs>
          <w:tab w:leader="none" w:pos="660" w:val="left"/>
        </w:tabs>
        <w:numPr>
          <w:ilvl w:val="0"/>
          <w:numId w:val="5"/>
        </w:numPr>
        <w:rPr>
          <w:rFonts w:ascii="Arial" w:cs="Arial" w:eastAsia="Arial" w:hAnsi="Arial"/>
          <w:sz w:val="19"/>
          <w:szCs w:val="19"/>
          <w:b w:val="1"/>
          <w:bCs w:val="1"/>
          <w:color w:val="auto"/>
        </w:rPr>
      </w:pPr>
      <w:r>
        <w:rPr>
          <w:rFonts w:ascii="Arial" w:cs="Arial" w:eastAsia="Arial" w:hAnsi="Arial"/>
          <w:sz w:val="19"/>
          <w:szCs w:val="19"/>
          <w:color w:val="auto"/>
        </w:rPr>
        <w:t>SMB momentum with transfer deposits up 21% and recurring deposits up 7%.</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Principal Asset Management</w:t>
      </w:r>
    </w:p>
    <w:p>
      <w:pPr>
        <w:spacing w:after="0" w:line="214" w:lineRule="exact"/>
        <w:rPr>
          <w:sz w:val="20"/>
          <w:szCs w:val="20"/>
          <w:color w:val="auto"/>
        </w:rPr>
      </w:pPr>
    </w:p>
    <w:p>
      <w:pPr>
        <w:ind w:left="660" w:right="320" w:hanging="328"/>
        <w:spacing w:after="0" w:line="270" w:lineRule="auto"/>
        <w:tabs>
          <w:tab w:leader="none" w:pos="660" w:val="left"/>
        </w:tabs>
        <w:numPr>
          <w:ilvl w:val="0"/>
          <w:numId w:val="6"/>
        </w:numPr>
        <w:rPr>
          <w:rFonts w:ascii="Arial" w:cs="Arial" w:eastAsia="Arial" w:hAnsi="Arial"/>
          <w:sz w:val="19"/>
          <w:szCs w:val="19"/>
          <w:b w:val="1"/>
          <w:bCs w:val="1"/>
          <w:color w:val="auto"/>
        </w:rPr>
      </w:pPr>
      <w:r>
        <w:rPr>
          <w:rFonts w:ascii="Arial" w:cs="Arial" w:eastAsia="Arial" w:hAnsi="Arial"/>
          <w:sz w:val="19"/>
          <w:szCs w:val="19"/>
          <w:color w:val="auto"/>
        </w:rPr>
        <w:t>Investment Management private markets AUM up 6%, supported by $0.8 billion private institutional inflows in the quarter; active ETF net inflows of $0.5 billion.</w:t>
      </w:r>
    </w:p>
    <w:p>
      <w:pPr>
        <w:spacing w:after="0" w:line="183" w:lineRule="exact"/>
        <w:rPr>
          <w:rFonts w:ascii="Arial" w:cs="Arial" w:eastAsia="Arial" w:hAnsi="Arial"/>
          <w:sz w:val="19"/>
          <w:szCs w:val="19"/>
          <w:b w:val="1"/>
          <w:bCs w:val="1"/>
          <w:color w:val="auto"/>
        </w:rPr>
      </w:pPr>
    </w:p>
    <w:p>
      <w:pPr>
        <w:ind w:left="660" w:hanging="328"/>
        <w:spacing w:after="0"/>
        <w:tabs>
          <w:tab w:leader="none" w:pos="660" w:val="left"/>
        </w:tabs>
        <w:numPr>
          <w:ilvl w:val="0"/>
          <w:numId w:val="6"/>
        </w:numPr>
        <w:rPr>
          <w:rFonts w:ascii="Arial" w:cs="Arial" w:eastAsia="Arial" w:hAnsi="Arial"/>
          <w:sz w:val="19"/>
          <w:szCs w:val="19"/>
          <w:b w:val="1"/>
          <w:bCs w:val="1"/>
          <w:color w:val="auto"/>
        </w:rPr>
      </w:pPr>
      <w:r>
        <w:rPr>
          <w:rFonts w:ascii="Arial" w:cs="Arial" w:eastAsia="Arial" w:hAnsi="Arial"/>
          <w:sz w:val="19"/>
          <w:szCs w:val="19"/>
          <w:color w:val="auto"/>
        </w:rPr>
        <w:t>International Pension AUM of $166 billion increased 10%.</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Benefits and Protection</w:t>
      </w:r>
    </w:p>
    <w:p>
      <w:pPr>
        <w:spacing w:after="0" w:line="214" w:lineRule="exact"/>
        <w:rPr>
          <w:sz w:val="20"/>
          <w:szCs w:val="20"/>
          <w:color w:val="auto"/>
        </w:rPr>
      </w:pPr>
    </w:p>
    <w:p>
      <w:pPr>
        <w:ind w:left="740" w:hanging="327"/>
        <w:spacing w:after="0" w:line="270" w:lineRule="auto"/>
        <w:tabs>
          <w:tab w:leader="none" w:pos="740"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Specialty Benefits premium &amp; fees increased 6% with sales up 10%; strong underwriting results with loss ratio of 59% which remains below targeted range of 60-64%.</w:t>
      </w:r>
    </w:p>
    <w:p>
      <w:pPr>
        <w:spacing w:after="0" w:line="188" w:lineRule="exact"/>
        <w:rPr>
          <w:rFonts w:ascii="Arial" w:cs="Arial" w:eastAsia="Arial" w:hAnsi="Arial"/>
          <w:sz w:val="19"/>
          <w:szCs w:val="19"/>
          <w:b w:val="1"/>
          <w:bCs w:val="1"/>
          <w:color w:val="auto"/>
        </w:rPr>
      </w:pPr>
    </w:p>
    <w:p>
      <w:pPr>
        <w:ind w:left="740" w:hanging="327"/>
        <w:spacing w:after="0"/>
        <w:tabs>
          <w:tab w:leader="none" w:pos="740"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Life Insurance operating margin</w:t>
      </w:r>
      <w:r>
        <w:rPr>
          <w:rFonts w:ascii="Arial" w:cs="Arial" w:eastAsia="Arial" w:hAnsi="Arial"/>
          <w:sz w:val="31"/>
          <w:szCs w:val="31"/>
          <w:color w:val="auto"/>
          <w:vertAlign w:val="superscript"/>
        </w:rPr>
        <w:t>3</w:t>
      </w:r>
      <w:r>
        <w:rPr>
          <w:rFonts w:ascii="Arial" w:cs="Arial" w:eastAsia="Arial" w:hAnsi="Arial"/>
          <w:sz w:val="19"/>
          <w:szCs w:val="19"/>
          <w:color w:val="auto"/>
        </w:rPr>
        <w:t xml:space="preserve"> of 13.6%, driven by favorable mortality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30"/>
          <w:szCs w:val="30"/>
          <w:color w:val="auto"/>
          <w:vertAlign w:val="superscript"/>
        </w:rPr>
      </w:pPr>
      <w:r>
        <w:rPr>
          <w:rFonts w:ascii="Arial" w:cs="Arial" w:eastAsia="Arial" w:hAnsi="Arial"/>
          <w:sz w:val="14"/>
          <w:szCs w:val="14"/>
          <w:color w:val="auto"/>
        </w:rPr>
        <w:t>Operating margin for Benefits and Protection = pre-tax operating earnings divided by premium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99" w:right="4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004C97"/>
        </w:rPr>
        <w:t>Segment Results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004C97"/>
        </w:rPr>
        <w:t xml:space="preserve">In millions except percentages, or otherwise noted </w:t>
      </w:r>
      <w:r>
        <w:rPr>
          <w:rFonts w:ascii="Arial" w:cs="Arial" w:eastAsia="Arial" w:hAnsi="Arial"/>
          <w:sz w:val="14"/>
          <w:szCs w:val="14"/>
          <w:color w:val="FFFFFF"/>
        </w:rPr>
        <w:t>except percentages or otherwise noted)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and Income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3480" w:type="dxa"/>
            <w:vAlign w:val="bottom"/>
          </w:tcPr>
          <w:p>
            <w:pPr>
              <w:spacing w:after="0"/>
              <w:rPr>
                <w:sz w:val="22"/>
                <w:szCs w:val="22"/>
                <w:color w:val="auto"/>
              </w:rPr>
            </w:pPr>
          </w:p>
        </w:tc>
        <w:tc>
          <w:tcPr>
            <w:tcW w:w="3860" w:type="dxa"/>
            <w:vAlign w:val="bottom"/>
            <w:gridSpan w:val="3"/>
          </w:tcPr>
          <w:p>
            <w:pPr>
              <w:jc w:val="right"/>
              <w:ind w:right="321"/>
              <w:spacing w:after="0"/>
              <w:rPr>
                <w:sz w:val="20"/>
                <w:szCs w:val="20"/>
                <w:color w:val="auto"/>
              </w:rPr>
            </w:pPr>
            <w:r>
              <w:rPr>
                <w:rFonts w:ascii="Arial" w:cs="Arial" w:eastAsia="Arial" w:hAnsi="Arial"/>
                <w:sz w:val="20"/>
                <w:szCs w:val="20"/>
                <w:color w:val="FFFFFF"/>
              </w:rPr>
              <w:t>Three Months Ended,</w:t>
            </w:r>
          </w:p>
        </w:tc>
      </w:tr>
      <w:tr>
        <w:trPr>
          <w:trHeight w:val="324"/>
        </w:trPr>
        <w:tc>
          <w:tcPr>
            <w:tcW w:w="3480" w:type="dxa"/>
            <w:vAlign w:val="bottom"/>
          </w:tcPr>
          <w:p>
            <w:pPr>
              <w:spacing w:after="0"/>
              <w:rPr>
                <w:sz w:val="24"/>
                <w:szCs w:val="24"/>
                <w:color w:val="auto"/>
              </w:rPr>
            </w:pPr>
          </w:p>
        </w:tc>
        <w:tc>
          <w:tcPr>
            <w:tcW w:w="1880" w:type="dxa"/>
            <w:vAlign w:val="bottom"/>
          </w:tcPr>
          <w:p>
            <w:pPr>
              <w:jc w:val="center"/>
              <w:ind w:left="761"/>
              <w:spacing w:after="0"/>
              <w:rPr>
                <w:sz w:val="20"/>
                <w:szCs w:val="20"/>
                <w:color w:val="auto"/>
              </w:rPr>
            </w:pPr>
            <w:r>
              <w:rPr>
                <w:rFonts w:ascii="Arial" w:cs="Arial" w:eastAsia="Arial" w:hAnsi="Arial"/>
                <w:sz w:val="20"/>
                <w:szCs w:val="20"/>
                <w:color w:val="FFFFFF"/>
              </w:rPr>
              <w:t>3Q26</w:t>
            </w:r>
          </w:p>
        </w:tc>
        <w:tc>
          <w:tcPr>
            <w:tcW w:w="1060" w:type="dxa"/>
            <w:vAlign w:val="bottom"/>
          </w:tcPr>
          <w:p>
            <w:pPr>
              <w:jc w:val="center"/>
              <w:spacing w:after="0"/>
              <w:rPr>
                <w:sz w:val="20"/>
                <w:szCs w:val="20"/>
                <w:color w:val="auto"/>
              </w:rPr>
            </w:pPr>
            <w:r>
              <w:rPr>
                <w:rFonts w:ascii="Arial" w:cs="Arial" w:eastAsia="Arial" w:hAnsi="Arial"/>
                <w:sz w:val="20"/>
                <w:szCs w:val="20"/>
                <w:color w:val="FFFFFF"/>
                <w:w w:val="98"/>
              </w:rPr>
              <w:t>3Q25</w:t>
            </w:r>
          </w:p>
        </w:tc>
        <w:tc>
          <w:tcPr>
            <w:tcW w:w="920" w:type="dxa"/>
            <w:vAlign w:val="bottom"/>
          </w:tcPr>
          <w:p>
            <w:pPr>
              <w:jc w:val="right"/>
              <w:spacing w:after="0"/>
              <w:rPr>
                <w:sz w:val="20"/>
                <w:szCs w:val="20"/>
                <w:color w:val="auto"/>
              </w:rPr>
            </w:pPr>
            <w:r>
              <w:rPr>
                <w:rFonts w:ascii="Arial" w:cs="Arial" w:eastAsia="Arial" w:hAnsi="Arial"/>
                <w:sz w:val="20"/>
                <w:szCs w:val="20"/>
                <w:color w:val="FFFFFF"/>
              </w:rPr>
              <w:t>Change</w:t>
            </w:r>
          </w:p>
        </w:tc>
      </w:tr>
      <w:tr>
        <w:trPr>
          <w:trHeight w:val="459"/>
        </w:trPr>
        <w:tc>
          <w:tcPr>
            <w:tcW w:w="3480" w:type="dxa"/>
            <w:vAlign w:val="bottom"/>
          </w:tcPr>
          <w:p>
            <w:pPr>
              <w:spacing w:after="0"/>
              <w:rPr>
                <w:sz w:val="20"/>
                <w:szCs w:val="20"/>
                <w:color w:val="auto"/>
              </w:rPr>
            </w:pPr>
            <w:r>
              <w:rPr>
                <w:rFonts w:ascii="Arial" w:cs="Arial" w:eastAsia="Arial" w:hAnsi="Arial"/>
                <w:sz w:val="20"/>
                <w:szCs w:val="20"/>
                <w:color w:val="auto"/>
              </w:rPr>
              <w:t>Pre-tax operating earnings</w:t>
            </w:r>
            <w:r>
              <w:rPr>
                <w:rFonts w:ascii="Arial" w:cs="Arial" w:eastAsia="Arial" w:hAnsi="Arial"/>
                <w:sz w:val="32"/>
                <w:szCs w:val="32"/>
                <w:color w:val="auto"/>
                <w:vertAlign w:val="superscript"/>
              </w:rPr>
              <w:t>4</w:t>
            </w:r>
          </w:p>
        </w:tc>
        <w:tc>
          <w:tcPr>
            <w:tcW w:w="1880" w:type="dxa"/>
            <w:vAlign w:val="bottom"/>
          </w:tcPr>
          <w:p>
            <w:pPr>
              <w:jc w:val="center"/>
              <w:ind w:left="761"/>
              <w:spacing w:after="0"/>
              <w:rPr>
                <w:sz w:val="20"/>
                <w:szCs w:val="20"/>
                <w:color w:val="auto"/>
              </w:rPr>
            </w:pPr>
            <w:r>
              <w:rPr>
                <w:rFonts w:ascii="Arial" w:cs="Arial" w:eastAsia="Arial" w:hAnsi="Arial"/>
                <w:sz w:val="20"/>
                <w:szCs w:val="20"/>
                <w:color w:val="auto"/>
              </w:rPr>
              <w:t>$297.8</w:t>
            </w:r>
          </w:p>
        </w:tc>
        <w:tc>
          <w:tcPr>
            <w:tcW w:w="1060" w:type="dxa"/>
            <w:vAlign w:val="bottom"/>
          </w:tcPr>
          <w:p>
            <w:pPr>
              <w:jc w:val="center"/>
              <w:spacing w:after="0"/>
              <w:rPr>
                <w:sz w:val="20"/>
                <w:szCs w:val="20"/>
                <w:color w:val="auto"/>
              </w:rPr>
            </w:pPr>
            <w:r>
              <w:rPr>
                <w:rFonts w:ascii="Arial" w:cs="Arial" w:eastAsia="Arial" w:hAnsi="Arial"/>
                <w:sz w:val="20"/>
                <w:szCs w:val="20"/>
                <w:color w:val="auto"/>
                <w:w w:val="98"/>
              </w:rPr>
              <w:t>$310.3</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(4)%</w:t>
            </w:r>
          </w:p>
        </w:tc>
      </w:tr>
      <w:tr>
        <w:trPr>
          <w:trHeight w:val="378"/>
        </w:trPr>
        <w:tc>
          <w:tcPr>
            <w:tcW w:w="3480" w:type="dxa"/>
            <w:vAlign w:val="bottom"/>
          </w:tcPr>
          <w:p>
            <w:pPr>
              <w:spacing w:after="0"/>
              <w:rPr>
                <w:sz w:val="20"/>
                <w:szCs w:val="20"/>
                <w:color w:val="auto"/>
              </w:rPr>
            </w:pPr>
            <w:r>
              <w:rPr>
                <w:rFonts w:ascii="Arial" w:cs="Arial" w:eastAsia="Arial" w:hAnsi="Arial"/>
                <w:sz w:val="20"/>
                <w:szCs w:val="20"/>
                <w:color w:val="auto"/>
              </w:rPr>
              <w:t>Net revenue</w:t>
            </w:r>
            <w:r>
              <w:rPr>
                <w:rFonts w:ascii="Arial" w:cs="Arial" w:eastAsia="Arial" w:hAnsi="Arial"/>
                <w:sz w:val="32"/>
                <w:szCs w:val="32"/>
                <w:color w:val="auto"/>
                <w:vertAlign w:val="superscript"/>
              </w:rPr>
              <w:t>5</w:t>
            </w:r>
          </w:p>
        </w:tc>
        <w:tc>
          <w:tcPr>
            <w:tcW w:w="1880" w:type="dxa"/>
            <w:vAlign w:val="bottom"/>
          </w:tcPr>
          <w:p>
            <w:pPr>
              <w:jc w:val="center"/>
              <w:ind w:left="761"/>
              <w:spacing w:after="0"/>
              <w:rPr>
                <w:sz w:val="20"/>
                <w:szCs w:val="20"/>
                <w:color w:val="auto"/>
              </w:rPr>
            </w:pPr>
            <w:r>
              <w:rPr>
                <w:rFonts w:ascii="Arial" w:cs="Arial" w:eastAsia="Arial" w:hAnsi="Arial"/>
                <w:sz w:val="20"/>
                <w:szCs w:val="20"/>
                <w:color w:val="auto"/>
              </w:rPr>
              <w:t>$757.3</w:t>
            </w:r>
          </w:p>
        </w:tc>
        <w:tc>
          <w:tcPr>
            <w:tcW w:w="1060" w:type="dxa"/>
            <w:vAlign w:val="bottom"/>
          </w:tcPr>
          <w:p>
            <w:pPr>
              <w:jc w:val="center"/>
              <w:spacing w:after="0"/>
              <w:rPr>
                <w:sz w:val="20"/>
                <w:szCs w:val="20"/>
                <w:color w:val="auto"/>
              </w:rPr>
            </w:pPr>
            <w:r>
              <w:rPr>
                <w:rFonts w:ascii="Arial" w:cs="Arial" w:eastAsia="Arial" w:hAnsi="Arial"/>
                <w:sz w:val="20"/>
                <w:szCs w:val="20"/>
                <w:color w:val="auto"/>
                <w:w w:val="98"/>
              </w:rPr>
              <w:t>$751.7</w:t>
            </w:r>
          </w:p>
        </w:tc>
        <w:tc>
          <w:tcPr>
            <w:tcW w:w="920" w:type="dxa"/>
            <w:vAlign w:val="bottom"/>
          </w:tcPr>
          <w:p>
            <w:pPr>
              <w:jc w:val="right"/>
              <w:ind w:right="101"/>
              <w:spacing w:after="0"/>
              <w:rPr>
                <w:sz w:val="20"/>
                <w:szCs w:val="20"/>
                <w:color w:val="auto"/>
              </w:rPr>
            </w:pPr>
            <w:r>
              <w:rPr>
                <w:rFonts w:ascii="Arial" w:cs="Arial" w:eastAsia="Arial" w:hAnsi="Arial"/>
                <w:sz w:val="20"/>
                <w:szCs w:val="20"/>
                <w:color w:val="auto"/>
              </w:rPr>
              <w:t>1%</w:t>
            </w:r>
          </w:p>
        </w:tc>
      </w:tr>
      <w:tr>
        <w:trPr>
          <w:trHeight w:val="441"/>
        </w:trPr>
        <w:tc>
          <w:tcPr>
            <w:tcW w:w="3480" w:type="dxa"/>
            <w:vAlign w:val="bottom"/>
          </w:tcPr>
          <w:p>
            <w:pPr>
              <w:spacing w:after="0"/>
              <w:rPr>
                <w:sz w:val="20"/>
                <w:szCs w:val="20"/>
                <w:color w:val="auto"/>
              </w:rPr>
            </w:pPr>
            <w:r>
              <w:rPr>
                <w:rFonts w:ascii="Arial" w:cs="Arial" w:eastAsia="Arial" w:hAnsi="Arial"/>
                <w:sz w:val="20"/>
                <w:szCs w:val="20"/>
                <w:color w:val="auto"/>
              </w:rPr>
              <w:t>Operating margin</w:t>
            </w:r>
            <w:r>
              <w:rPr>
                <w:rFonts w:ascii="Arial" w:cs="Arial" w:eastAsia="Arial" w:hAnsi="Arial"/>
                <w:sz w:val="32"/>
                <w:szCs w:val="32"/>
                <w:color w:val="auto"/>
                <w:vertAlign w:val="superscript"/>
              </w:rPr>
              <w:t>6</w:t>
            </w:r>
          </w:p>
        </w:tc>
        <w:tc>
          <w:tcPr>
            <w:tcW w:w="1880" w:type="dxa"/>
            <w:vAlign w:val="bottom"/>
          </w:tcPr>
          <w:p>
            <w:pPr>
              <w:jc w:val="center"/>
              <w:ind w:left="761"/>
              <w:spacing w:after="0"/>
              <w:rPr>
                <w:sz w:val="20"/>
                <w:szCs w:val="20"/>
                <w:color w:val="auto"/>
              </w:rPr>
            </w:pPr>
            <w:r>
              <w:rPr>
                <w:rFonts w:ascii="Arial" w:cs="Arial" w:eastAsia="Arial" w:hAnsi="Arial"/>
                <w:sz w:val="20"/>
                <w:szCs w:val="20"/>
                <w:color w:val="auto"/>
              </w:rPr>
              <w:t>39.3%</w:t>
            </w:r>
          </w:p>
        </w:tc>
        <w:tc>
          <w:tcPr>
            <w:tcW w:w="1060" w:type="dxa"/>
            <w:vAlign w:val="bottom"/>
          </w:tcPr>
          <w:p>
            <w:pPr>
              <w:jc w:val="right"/>
              <w:ind w:right="141"/>
              <w:spacing w:after="0"/>
              <w:rPr>
                <w:sz w:val="20"/>
                <w:szCs w:val="20"/>
                <w:color w:val="auto"/>
              </w:rPr>
            </w:pPr>
            <w:r>
              <w:rPr>
                <w:rFonts w:ascii="Arial" w:cs="Arial" w:eastAsia="Arial" w:hAnsi="Arial"/>
                <w:sz w:val="20"/>
                <w:szCs w:val="20"/>
                <w:color w:val="auto"/>
              </w:rPr>
              <w:t>41.3%</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Arial" w:cs="Arial" w:eastAsia="Arial" w:hAnsi="Arial"/>
          <w:sz w:val="20"/>
          <w:szCs w:val="20"/>
          <w:color w:val="FFFFFF"/>
        </w:rPr>
        <w:t>Trailing Twelve Months,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60" w:type="dxa"/>
            <w:vAlign w:val="bottom"/>
          </w:tcPr>
          <w:p>
            <w:pPr>
              <w:jc w:val="center"/>
              <w:ind w:right="81"/>
              <w:spacing w:after="0"/>
              <w:rPr>
                <w:sz w:val="20"/>
                <w:szCs w:val="20"/>
                <w:color w:val="auto"/>
              </w:rPr>
            </w:pPr>
            <w:r>
              <w:rPr>
                <w:rFonts w:ascii="Arial" w:cs="Arial" w:eastAsia="Arial" w:hAnsi="Arial"/>
                <w:sz w:val="20"/>
                <w:szCs w:val="20"/>
                <w:color w:val="FFFFFF"/>
              </w:rPr>
              <w:t>3Q26</w:t>
            </w:r>
          </w:p>
        </w:tc>
        <w:tc>
          <w:tcPr>
            <w:tcW w:w="1160" w:type="dxa"/>
            <w:vAlign w:val="bottom"/>
          </w:tcPr>
          <w:p>
            <w:pPr>
              <w:jc w:val="center"/>
              <w:spacing w:after="0"/>
              <w:rPr>
                <w:sz w:val="20"/>
                <w:szCs w:val="20"/>
                <w:color w:val="auto"/>
              </w:rPr>
            </w:pPr>
            <w:r>
              <w:rPr>
                <w:rFonts w:ascii="Arial" w:cs="Arial" w:eastAsia="Arial" w:hAnsi="Arial"/>
                <w:sz w:val="20"/>
                <w:szCs w:val="20"/>
                <w:color w:val="FFFFFF"/>
              </w:rPr>
              <w:t>3Q25</w:t>
            </w:r>
          </w:p>
        </w:tc>
        <w:tc>
          <w:tcPr>
            <w:tcW w:w="920" w:type="dxa"/>
            <w:vAlign w:val="bottom"/>
          </w:tcPr>
          <w:p>
            <w:pPr>
              <w:jc w:val="center"/>
              <w:ind w:left="121"/>
              <w:spacing w:after="0"/>
              <w:rPr>
                <w:sz w:val="20"/>
                <w:szCs w:val="20"/>
                <w:color w:val="auto"/>
              </w:rPr>
            </w:pPr>
            <w:r>
              <w:rPr>
                <w:rFonts w:ascii="Arial" w:cs="Arial" w:eastAsia="Arial" w:hAnsi="Arial"/>
                <w:sz w:val="20"/>
                <w:szCs w:val="20"/>
                <w:color w:val="FFFFFF"/>
                <w:w w:val="99"/>
              </w:rPr>
              <w:t>Change</w:t>
            </w:r>
          </w:p>
        </w:tc>
      </w:tr>
      <w:tr>
        <w:trPr>
          <w:trHeight w:val="338"/>
        </w:trPr>
        <w:tc>
          <w:tcPr>
            <w:tcW w:w="960" w:type="dxa"/>
            <w:vAlign w:val="bottom"/>
          </w:tcPr>
          <w:p>
            <w:pPr>
              <w:jc w:val="center"/>
              <w:ind w:right="81"/>
              <w:spacing w:after="0"/>
              <w:rPr>
                <w:sz w:val="20"/>
                <w:szCs w:val="20"/>
                <w:color w:val="auto"/>
              </w:rPr>
            </w:pPr>
            <w:r>
              <w:rPr>
                <w:rFonts w:ascii="Arial" w:cs="Arial" w:eastAsia="Arial" w:hAnsi="Arial"/>
                <w:sz w:val="20"/>
                <w:szCs w:val="20"/>
                <w:color w:val="auto"/>
              </w:rPr>
              <w:t>$1,222.7</w:t>
            </w:r>
          </w:p>
        </w:tc>
        <w:tc>
          <w:tcPr>
            <w:tcW w:w="1160" w:type="dxa"/>
            <w:vAlign w:val="bottom"/>
          </w:tcPr>
          <w:p>
            <w:pPr>
              <w:jc w:val="center"/>
              <w:spacing w:after="0"/>
              <w:rPr>
                <w:sz w:val="20"/>
                <w:szCs w:val="20"/>
                <w:color w:val="auto"/>
              </w:rPr>
            </w:pPr>
            <w:r>
              <w:rPr>
                <w:rFonts w:ascii="Arial" w:cs="Arial" w:eastAsia="Arial" w:hAnsi="Arial"/>
                <w:sz w:val="20"/>
                <w:szCs w:val="20"/>
                <w:color w:val="auto"/>
              </w:rPr>
              <w:t>$1,166.2</w:t>
            </w:r>
          </w:p>
        </w:tc>
        <w:tc>
          <w:tcPr>
            <w:tcW w:w="920" w:type="dxa"/>
            <w:vAlign w:val="bottom"/>
          </w:tcPr>
          <w:p>
            <w:pPr>
              <w:jc w:val="center"/>
              <w:ind w:left="101"/>
              <w:spacing w:after="0"/>
              <w:rPr>
                <w:sz w:val="20"/>
                <w:szCs w:val="20"/>
                <w:color w:val="auto"/>
              </w:rPr>
            </w:pPr>
            <w:r>
              <w:rPr>
                <w:rFonts w:ascii="Arial" w:cs="Arial" w:eastAsia="Arial" w:hAnsi="Arial"/>
                <w:sz w:val="20"/>
                <w:szCs w:val="20"/>
                <w:color w:val="auto"/>
                <w:w w:val="96"/>
              </w:rPr>
              <w:t>5%</w:t>
            </w:r>
          </w:p>
        </w:tc>
      </w:tr>
      <w:tr>
        <w:trPr>
          <w:trHeight w:val="378"/>
        </w:trPr>
        <w:tc>
          <w:tcPr>
            <w:tcW w:w="960" w:type="dxa"/>
            <w:vAlign w:val="bottom"/>
          </w:tcPr>
          <w:p>
            <w:pPr>
              <w:jc w:val="center"/>
              <w:ind w:right="81"/>
              <w:spacing w:after="0"/>
              <w:rPr>
                <w:sz w:val="20"/>
                <w:szCs w:val="20"/>
                <w:color w:val="auto"/>
              </w:rPr>
            </w:pPr>
            <w:r>
              <w:rPr>
                <w:rFonts w:ascii="Arial" w:cs="Arial" w:eastAsia="Arial" w:hAnsi="Arial"/>
                <w:sz w:val="20"/>
                <w:szCs w:val="20"/>
                <w:color w:val="auto"/>
              </w:rPr>
              <w:t>$3,041.2</w:t>
            </w:r>
          </w:p>
        </w:tc>
        <w:tc>
          <w:tcPr>
            <w:tcW w:w="1160" w:type="dxa"/>
            <w:vAlign w:val="bottom"/>
          </w:tcPr>
          <w:p>
            <w:pPr>
              <w:jc w:val="center"/>
              <w:spacing w:after="0"/>
              <w:rPr>
                <w:sz w:val="20"/>
                <w:szCs w:val="20"/>
                <w:color w:val="auto"/>
              </w:rPr>
            </w:pPr>
            <w:r>
              <w:rPr>
                <w:rFonts w:ascii="Arial" w:cs="Arial" w:eastAsia="Arial" w:hAnsi="Arial"/>
                <w:sz w:val="20"/>
                <w:szCs w:val="20"/>
                <w:color w:val="auto"/>
              </w:rPr>
              <w:t>$2,919.0</w:t>
            </w:r>
          </w:p>
        </w:tc>
        <w:tc>
          <w:tcPr>
            <w:tcW w:w="920" w:type="dxa"/>
            <w:vAlign w:val="bottom"/>
          </w:tcPr>
          <w:p>
            <w:pPr>
              <w:jc w:val="center"/>
              <w:ind w:left="101"/>
              <w:spacing w:after="0"/>
              <w:rPr>
                <w:sz w:val="20"/>
                <w:szCs w:val="20"/>
                <w:color w:val="auto"/>
              </w:rPr>
            </w:pPr>
            <w:r>
              <w:rPr>
                <w:rFonts w:ascii="Arial" w:cs="Arial" w:eastAsia="Arial" w:hAnsi="Arial"/>
                <w:sz w:val="20"/>
                <w:szCs w:val="20"/>
                <w:color w:val="auto"/>
                <w:w w:val="96"/>
              </w:rPr>
              <w:t>4%</w:t>
            </w:r>
          </w:p>
        </w:tc>
      </w:tr>
      <w:tr>
        <w:trPr>
          <w:trHeight w:val="378"/>
        </w:trPr>
        <w:tc>
          <w:tcPr>
            <w:tcW w:w="960" w:type="dxa"/>
            <w:vAlign w:val="bottom"/>
          </w:tcPr>
          <w:p>
            <w:pPr>
              <w:jc w:val="right"/>
              <w:ind w:right="141"/>
              <w:spacing w:after="0"/>
              <w:rPr>
                <w:sz w:val="20"/>
                <w:szCs w:val="20"/>
                <w:color w:val="auto"/>
              </w:rPr>
            </w:pPr>
            <w:r>
              <w:rPr>
                <w:rFonts w:ascii="Arial" w:cs="Arial" w:eastAsia="Arial" w:hAnsi="Arial"/>
                <w:sz w:val="20"/>
                <w:szCs w:val="20"/>
                <w:color w:val="auto"/>
              </w:rPr>
              <w:t>40.2%</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40.0%</w:t>
            </w:r>
          </w:p>
        </w:tc>
        <w:tc>
          <w:tcPr>
            <w:tcW w:w="920" w:type="dxa"/>
            <w:vAlign w:val="bottom"/>
          </w:tcPr>
          <w:p>
            <w:pPr>
              <w:spacing w:after="0"/>
              <w:rPr>
                <w:sz w:val="24"/>
                <w:szCs w:val="24"/>
                <w:color w:val="auto"/>
              </w:rPr>
            </w:pPr>
          </w:p>
        </w:tc>
      </w:tr>
    </w:tbl>
    <w:p>
      <w:pPr>
        <w:spacing w:after="0" w:line="357" w:lineRule="exact"/>
        <w:rPr>
          <w:sz w:val="20"/>
          <w:szCs w:val="20"/>
          <w:color w:val="auto"/>
        </w:rPr>
      </w:pPr>
    </w:p>
    <w:p>
      <w:pPr>
        <w:sectPr>
          <w:pgSz w:w="11900" w:h="16838" w:orient="portrait"/>
          <w:cols w:equalWidth="0" w:num="2">
            <w:col w:w="7500" w:space="440"/>
            <w:col w:w="3300"/>
          </w:cols>
          <w:pgMar w:left="320" w:top="926" w:right="339" w:bottom="1440" w:gutter="0" w:footer="0" w:header="0"/>
        </w:sectPr>
      </w:pPr>
    </w:p>
    <w:p>
      <w:pPr>
        <w:ind w:left="660" w:right="100" w:hanging="328"/>
        <w:spacing w:after="0" w:line="259" w:lineRule="auto"/>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Pre-tax operating earnings </w:t>
      </w:r>
      <w:r>
        <w:rPr>
          <w:rFonts w:ascii="Arial" w:cs="Arial" w:eastAsia="Arial" w:hAnsi="Arial"/>
          <w:sz w:val="20"/>
          <w:szCs w:val="20"/>
          <w:color w:val="auto"/>
        </w:rPr>
        <w:t>decreased $12.5 million primarily due to lower variable investment income and the impacts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3Q25 actuarial assumption review.</w:t>
      </w:r>
    </w:p>
    <w:p>
      <w:pPr>
        <w:spacing w:after="0" w:line="151" w:lineRule="exact"/>
        <w:rPr>
          <w:rFonts w:ascii="Arial" w:cs="Arial" w:eastAsia="Arial" w:hAnsi="Arial"/>
          <w:sz w:val="20"/>
          <w:szCs w:val="20"/>
          <w:b w:val="1"/>
          <w:bCs w:val="1"/>
          <w:color w:val="auto"/>
        </w:rPr>
      </w:pPr>
    </w:p>
    <w:p>
      <w:pPr>
        <w:ind w:left="660" w:right="180" w:hanging="328"/>
        <w:spacing w:after="0" w:line="259" w:lineRule="auto"/>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Net revenue </w:t>
      </w:r>
      <w:r>
        <w:rPr>
          <w:rFonts w:ascii="Arial" w:cs="Arial" w:eastAsia="Arial" w:hAnsi="Arial"/>
          <w:sz w:val="20"/>
          <w:szCs w:val="20"/>
          <w:color w:val="auto"/>
        </w:rPr>
        <w:t>increased $5.6 million as favorable market performance and growth in the business was partially offset by</w:t>
      </w:r>
      <w:r>
        <w:rPr>
          <w:rFonts w:ascii="Arial" w:cs="Arial" w:eastAsia="Arial" w:hAnsi="Arial"/>
          <w:sz w:val="20"/>
          <w:szCs w:val="20"/>
          <w:b w:val="1"/>
          <w:bCs w:val="1"/>
          <w:color w:val="auto"/>
        </w:rPr>
        <w:t xml:space="preserve"> </w:t>
      </w:r>
      <w:r>
        <w:rPr>
          <w:rFonts w:ascii="Arial" w:cs="Arial" w:eastAsia="Arial" w:hAnsi="Arial"/>
          <w:sz w:val="20"/>
          <w:szCs w:val="20"/>
          <w:color w:val="auto"/>
        </w:rPr>
        <w:t>lower variable investment income and the impacts of the 3Q25 actuarial assumption review.</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Asset Management - Investment Management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80" w:type="dxa"/>
            <w:vAlign w:val="bottom"/>
            <w:shd w:val="clear" w:color="auto" w:fill="004C97"/>
          </w:tcPr>
          <w:p>
            <w:pPr>
              <w:spacing w:after="0"/>
              <w:rPr>
                <w:sz w:val="24"/>
                <w:szCs w:val="24"/>
                <w:color w:val="auto"/>
              </w:rPr>
            </w:pPr>
          </w:p>
        </w:tc>
        <w:tc>
          <w:tcPr>
            <w:tcW w:w="3640" w:type="dxa"/>
            <w:vAlign w:val="bottom"/>
            <w:gridSpan w:val="3"/>
            <w:shd w:val="clear" w:color="auto" w:fill="004C97"/>
          </w:tcPr>
          <w:p>
            <w:pPr>
              <w:jc w:val="right"/>
              <w:ind w:right="541"/>
              <w:spacing w:after="0"/>
              <w:rPr>
                <w:sz w:val="20"/>
                <w:szCs w:val="20"/>
                <w:color w:val="auto"/>
              </w:rPr>
            </w:pPr>
            <w:r>
              <w:rPr>
                <w:rFonts w:ascii="Arial" w:cs="Arial" w:eastAsia="Arial" w:hAnsi="Arial"/>
                <w:sz w:val="20"/>
                <w:szCs w:val="20"/>
                <w:color w:val="FFFFFF"/>
              </w:rPr>
              <w:t>Three Months Ended,</w:t>
            </w:r>
          </w:p>
        </w:tc>
        <w:tc>
          <w:tcPr>
            <w:tcW w:w="3520" w:type="dxa"/>
            <w:vAlign w:val="bottom"/>
            <w:gridSpan w:val="3"/>
            <w:shd w:val="clear" w:color="auto" w:fill="004C97"/>
          </w:tcPr>
          <w:p>
            <w:pPr>
              <w:jc w:val="center"/>
              <w:spacing w:after="0"/>
              <w:rPr>
                <w:sz w:val="20"/>
                <w:szCs w:val="20"/>
                <w:color w:val="auto"/>
              </w:rPr>
            </w:pPr>
            <w:r>
              <w:rPr>
                <w:rFonts w:ascii="Arial" w:cs="Arial" w:eastAsia="Arial" w:hAnsi="Arial"/>
                <w:sz w:val="20"/>
                <w:szCs w:val="20"/>
                <w:color w:val="FFFFFF"/>
                <w:w w:val="98"/>
              </w:rPr>
              <w:t>Trailing Twelve Months,</w:t>
            </w:r>
          </w:p>
        </w:tc>
        <w:tc>
          <w:tcPr>
            <w:tcW w:w="0" w:type="dxa"/>
            <w:vAlign w:val="bottom"/>
          </w:tcPr>
          <w:p>
            <w:pPr>
              <w:spacing w:after="0"/>
              <w:rPr>
                <w:sz w:val="1"/>
                <w:szCs w:val="1"/>
                <w:color w:val="auto"/>
              </w:rPr>
            </w:pPr>
          </w:p>
        </w:tc>
      </w:tr>
      <w:tr>
        <w:trPr>
          <w:trHeight w:val="333"/>
        </w:trPr>
        <w:tc>
          <w:tcPr>
            <w:tcW w:w="4080" w:type="dxa"/>
            <w:vAlign w:val="bottom"/>
            <w:tcBorders>
              <w:bottom w:val="single" w:sz="8" w:color="004C97"/>
            </w:tcBorders>
            <w:shd w:val="clear" w:color="auto" w:fill="004C97"/>
          </w:tcPr>
          <w:p>
            <w:pPr>
              <w:spacing w:after="0"/>
              <w:rPr>
                <w:sz w:val="24"/>
                <w:szCs w:val="24"/>
                <w:color w:val="auto"/>
              </w:rPr>
            </w:pPr>
          </w:p>
        </w:tc>
        <w:tc>
          <w:tcPr>
            <w:tcW w:w="1440" w:type="dxa"/>
            <w:vAlign w:val="bottom"/>
            <w:tcBorders>
              <w:bottom w:val="single" w:sz="8" w:color="004C97"/>
            </w:tcBorders>
            <w:shd w:val="clear" w:color="auto" w:fill="004C97"/>
          </w:tcPr>
          <w:p>
            <w:pPr>
              <w:jc w:val="center"/>
              <w:ind w:left="321"/>
              <w:spacing w:after="0"/>
              <w:rPr>
                <w:sz w:val="20"/>
                <w:szCs w:val="20"/>
                <w:color w:val="auto"/>
              </w:rPr>
            </w:pPr>
            <w:r>
              <w:rPr>
                <w:rFonts w:ascii="Arial" w:cs="Arial" w:eastAsia="Arial" w:hAnsi="Arial"/>
                <w:sz w:val="20"/>
                <w:szCs w:val="20"/>
                <w:color w:val="FFFFFF"/>
              </w:rPr>
              <w:t>3Q26</w:t>
            </w:r>
          </w:p>
        </w:tc>
        <w:tc>
          <w:tcPr>
            <w:tcW w:w="106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8"/>
              </w:rPr>
              <w:t>3Q25</w:t>
            </w:r>
          </w:p>
        </w:tc>
        <w:tc>
          <w:tcPr>
            <w:tcW w:w="11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9"/>
              </w:rPr>
              <w:t>Change</w:t>
            </w:r>
          </w:p>
        </w:tc>
        <w:tc>
          <w:tcPr>
            <w:tcW w:w="118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3Q26</w:t>
            </w:r>
          </w:p>
        </w:tc>
        <w:tc>
          <w:tcPr>
            <w:tcW w:w="116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3Q25</w:t>
            </w:r>
          </w:p>
        </w:tc>
        <w:tc>
          <w:tcPr>
            <w:tcW w:w="118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9"/>
              </w:rPr>
              <w:t>Change</w:t>
            </w:r>
          </w:p>
        </w:tc>
        <w:tc>
          <w:tcPr>
            <w:tcW w:w="0" w:type="dxa"/>
            <w:vAlign w:val="bottom"/>
          </w:tcPr>
          <w:p>
            <w:pPr>
              <w:spacing w:after="0"/>
              <w:rPr>
                <w:sz w:val="1"/>
                <w:szCs w:val="1"/>
                <w:color w:val="auto"/>
              </w:rPr>
            </w:pPr>
          </w:p>
        </w:tc>
      </w:tr>
      <w:tr>
        <w:trPr>
          <w:trHeight w:val="293"/>
        </w:trPr>
        <w:tc>
          <w:tcPr>
            <w:tcW w:w="4080" w:type="dxa"/>
            <w:vAlign w:val="bottom"/>
          </w:tcPr>
          <w:p>
            <w:pPr>
              <w:ind w:left="100"/>
              <w:spacing w:after="0"/>
              <w:rPr>
                <w:sz w:val="20"/>
                <w:szCs w:val="20"/>
                <w:color w:val="auto"/>
              </w:rPr>
            </w:pPr>
            <w:r>
              <w:rPr>
                <w:rFonts w:ascii="Arial" w:cs="Arial" w:eastAsia="Arial" w:hAnsi="Arial"/>
                <w:sz w:val="20"/>
                <w:szCs w:val="20"/>
                <w:color w:val="auto"/>
              </w:rPr>
              <w:t>Pre-tax operating earnings</w:t>
            </w:r>
          </w:p>
        </w:tc>
        <w:tc>
          <w:tcPr>
            <w:tcW w:w="1440" w:type="dxa"/>
            <w:vAlign w:val="bottom"/>
          </w:tcPr>
          <w:p>
            <w:pPr>
              <w:jc w:val="center"/>
              <w:ind w:left="321"/>
              <w:spacing w:after="0"/>
              <w:rPr>
                <w:sz w:val="20"/>
                <w:szCs w:val="20"/>
                <w:color w:val="auto"/>
              </w:rPr>
            </w:pPr>
            <w:r>
              <w:rPr>
                <w:rFonts w:ascii="Arial" w:cs="Arial" w:eastAsia="Arial" w:hAnsi="Arial"/>
                <w:sz w:val="20"/>
                <w:szCs w:val="20"/>
                <w:color w:val="auto"/>
              </w:rPr>
              <w:t>$168.1</w:t>
            </w:r>
          </w:p>
        </w:tc>
        <w:tc>
          <w:tcPr>
            <w:tcW w:w="1060" w:type="dxa"/>
            <w:vAlign w:val="bottom"/>
          </w:tcPr>
          <w:p>
            <w:pPr>
              <w:jc w:val="center"/>
              <w:spacing w:after="0"/>
              <w:rPr>
                <w:sz w:val="20"/>
                <w:szCs w:val="20"/>
                <w:color w:val="auto"/>
              </w:rPr>
            </w:pPr>
            <w:r>
              <w:rPr>
                <w:rFonts w:ascii="Arial" w:cs="Arial" w:eastAsia="Arial" w:hAnsi="Arial"/>
                <w:sz w:val="20"/>
                <w:szCs w:val="20"/>
                <w:color w:val="auto"/>
                <w:w w:val="98"/>
              </w:rPr>
              <w:t>$173.5</w:t>
            </w:r>
          </w:p>
        </w:tc>
        <w:tc>
          <w:tcPr>
            <w:tcW w:w="1140" w:type="dxa"/>
            <w:vAlign w:val="bottom"/>
          </w:tcPr>
          <w:p>
            <w:pPr>
              <w:jc w:val="center"/>
              <w:spacing w:after="0"/>
              <w:rPr>
                <w:sz w:val="20"/>
                <w:szCs w:val="20"/>
                <w:color w:val="auto"/>
              </w:rPr>
            </w:pPr>
            <w:r>
              <w:rPr>
                <w:rFonts w:ascii="Arial" w:cs="Arial" w:eastAsia="Arial" w:hAnsi="Arial"/>
                <w:sz w:val="20"/>
                <w:szCs w:val="20"/>
                <w:color w:val="auto"/>
                <w:w w:val="99"/>
              </w:rPr>
              <w:t>(3)%</w:t>
            </w:r>
          </w:p>
        </w:tc>
        <w:tc>
          <w:tcPr>
            <w:tcW w:w="1180" w:type="dxa"/>
            <w:vAlign w:val="bottom"/>
          </w:tcPr>
          <w:p>
            <w:pPr>
              <w:jc w:val="center"/>
              <w:spacing w:after="0"/>
              <w:rPr>
                <w:sz w:val="20"/>
                <w:szCs w:val="20"/>
                <w:color w:val="auto"/>
              </w:rPr>
            </w:pPr>
            <w:r>
              <w:rPr>
                <w:rFonts w:ascii="Arial" w:cs="Arial" w:eastAsia="Arial" w:hAnsi="Arial"/>
                <w:sz w:val="20"/>
                <w:szCs w:val="20"/>
                <w:color w:val="auto"/>
              </w:rPr>
              <w:t>$619.3</w:t>
            </w:r>
          </w:p>
        </w:tc>
        <w:tc>
          <w:tcPr>
            <w:tcW w:w="1160" w:type="dxa"/>
            <w:vAlign w:val="bottom"/>
          </w:tcPr>
          <w:p>
            <w:pPr>
              <w:jc w:val="center"/>
              <w:spacing w:after="0"/>
              <w:rPr>
                <w:sz w:val="20"/>
                <w:szCs w:val="20"/>
                <w:color w:val="auto"/>
              </w:rPr>
            </w:pPr>
            <w:r>
              <w:rPr>
                <w:rFonts w:ascii="Arial" w:cs="Arial" w:eastAsia="Arial" w:hAnsi="Arial"/>
                <w:sz w:val="20"/>
                <w:szCs w:val="20"/>
                <w:color w:val="auto"/>
                <w:w w:val="94"/>
              </w:rPr>
              <w:t>$611.6</w:t>
            </w:r>
          </w:p>
        </w:tc>
        <w:tc>
          <w:tcPr>
            <w:tcW w:w="1180" w:type="dxa"/>
            <w:vAlign w:val="bottom"/>
          </w:tcPr>
          <w:p>
            <w:pPr>
              <w:jc w:val="center"/>
              <w:spacing w:after="0"/>
              <w:rPr>
                <w:sz w:val="20"/>
                <w:szCs w:val="20"/>
                <w:color w:val="auto"/>
              </w:rPr>
            </w:pPr>
            <w:r>
              <w:rPr>
                <w:rFonts w:ascii="Arial" w:cs="Arial" w:eastAsia="Arial" w:hAnsi="Arial"/>
                <w:sz w:val="20"/>
                <w:szCs w:val="20"/>
                <w:color w:val="auto"/>
                <w:w w:val="96"/>
              </w:rPr>
              <w:t>1%</w:t>
            </w:r>
          </w:p>
        </w:tc>
        <w:tc>
          <w:tcPr>
            <w:tcW w:w="0" w:type="dxa"/>
            <w:vAlign w:val="bottom"/>
          </w:tcPr>
          <w:p>
            <w:pPr>
              <w:spacing w:after="0"/>
              <w:rPr>
                <w:sz w:val="1"/>
                <w:szCs w:val="1"/>
                <w:color w:val="auto"/>
              </w:rPr>
            </w:pPr>
          </w:p>
        </w:tc>
      </w:tr>
      <w:tr>
        <w:trPr>
          <w:trHeight w:val="284"/>
        </w:trPr>
        <w:tc>
          <w:tcPr>
            <w:tcW w:w="4080" w:type="dxa"/>
            <w:vAlign w:val="bottom"/>
          </w:tcPr>
          <w:p>
            <w:pPr>
              <w:ind w:left="100"/>
              <w:spacing w:after="0"/>
              <w:rPr>
                <w:sz w:val="20"/>
                <w:szCs w:val="20"/>
                <w:color w:val="auto"/>
              </w:rPr>
            </w:pPr>
            <w:r>
              <w:rPr>
                <w:rFonts w:ascii="Arial" w:cs="Arial" w:eastAsia="Arial" w:hAnsi="Arial"/>
                <w:sz w:val="20"/>
                <w:szCs w:val="20"/>
                <w:color w:val="auto"/>
              </w:rPr>
              <w:t>Operating revenues less pass-through</w:t>
            </w:r>
          </w:p>
        </w:tc>
        <w:tc>
          <w:tcPr>
            <w:tcW w:w="1440" w:type="dxa"/>
            <w:vAlign w:val="bottom"/>
            <w:vMerge w:val="restart"/>
          </w:tcPr>
          <w:p>
            <w:pPr>
              <w:jc w:val="center"/>
              <w:ind w:left="321"/>
              <w:spacing w:after="0"/>
              <w:rPr>
                <w:sz w:val="20"/>
                <w:szCs w:val="20"/>
                <w:color w:val="auto"/>
              </w:rPr>
            </w:pPr>
            <w:r>
              <w:rPr>
                <w:rFonts w:ascii="Arial" w:cs="Arial" w:eastAsia="Arial" w:hAnsi="Arial"/>
                <w:sz w:val="20"/>
                <w:szCs w:val="20"/>
                <w:color w:val="auto"/>
              </w:rPr>
              <w:t>$436.1</w:t>
            </w:r>
          </w:p>
        </w:tc>
        <w:tc>
          <w:tcPr>
            <w:tcW w:w="1060" w:type="dxa"/>
            <w:vAlign w:val="bottom"/>
            <w:vMerge w:val="restart"/>
          </w:tcPr>
          <w:p>
            <w:pPr>
              <w:jc w:val="center"/>
              <w:spacing w:after="0"/>
              <w:rPr>
                <w:sz w:val="20"/>
                <w:szCs w:val="20"/>
                <w:color w:val="auto"/>
              </w:rPr>
            </w:pPr>
            <w:r>
              <w:rPr>
                <w:rFonts w:ascii="Arial" w:cs="Arial" w:eastAsia="Arial" w:hAnsi="Arial"/>
                <w:sz w:val="20"/>
                <w:szCs w:val="20"/>
                <w:color w:val="auto"/>
                <w:w w:val="98"/>
              </w:rPr>
              <w:t>$444.0</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auto"/>
                <w:w w:val="99"/>
              </w:rPr>
              <w:t>(2)%</w:t>
            </w:r>
          </w:p>
        </w:tc>
        <w:tc>
          <w:tcPr>
            <w:tcW w:w="1180" w:type="dxa"/>
            <w:vAlign w:val="bottom"/>
            <w:vMerge w:val="restart"/>
          </w:tcPr>
          <w:p>
            <w:pPr>
              <w:jc w:val="center"/>
              <w:spacing w:after="0"/>
              <w:rPr>
                <w:sz w:val="20"/>
                <w:szCs w:val="20"/>
                <w:color w:val="auto"/>
              </w:rPr>
            </w:pPr>
            <w:r>
              <w:rPr>
                <w:rFonts w:ascii="Arial" w:cs="Arial" w:eastAsia="Arial" w:hAnsi="Arial"/>
                <w:sz w:val="20"/>
                <w:szCs w:val="20"/>
                <w:color w:val="auto"/>
              </w:rPr>
              <w:t>$1,735.5</w:t>
            </w:r>
          </w:p>
        </w:tc>
        <w:tc>
          <w:tcPr>
            <w:tcW w:w="1160" w:type="dxa"/>
            <w:vAlign w:val="bottom"/>
            <w:vMerge w:val="restart"/>
          </w:tcPr>
          <w:p>
            <w:pPr>
              <w:jc w:val="center"/>
              <w:spacing w:after="0"/>
              <w:rPr>
                <w:sz w:val="20"/>
                <w:szCs w:val="20"/>
                <w:color w:val="auto"/>
              </w:rPr>
            </w:pPr>
            <w:r>
              <w:rPr>
                <w:rFonts w:ascii="Arial" w:cs="Arial" w:eastAsia="Arial" w:hAnsi="Arial"/>
                <w:sz w:val="20"/>
                <w:szCs w:val="20"/>
                <w:color w:val="auto"/>
              </w:rPr>
              <w:t>$1,724.7</w:t>
            </w:r>
          </w:p>
        </w:tc>
        <w:tc>
          <w:tcPr>
            <w:tcW w:w="1180" w:type="dxa"/>
            <w:vAlign w:val="bottom"/>
            <w:vMerge w:val="restart"/>
          </w:tcPr>
          <w:p>
            <w:pPr>
              <w:jc w:val="center"/>
              <w:spacing w:after="0"/>
              <w:rPr>
                <w:sz w:val="20"/>
                <w:szCs w:val="20"/>
                <w:color w:val="auto"/>
              </w:rPr>
            </w:pPr>
            <w:r>
              <w:rPr>
                <w:rFonts w:ascii="Arial" w:cs="Arial" w:eastAsia="Arial" w:hAnsi="Arial"/>
                <w:sz w:val="20"/>
                <w:szCs w:val="20"/>
                <w:color w:val="auto"/>
                <w:w w:val="96"/>
              </w:rPr>
              <w:t>1%</w:t>
            </w:r>
          </w:p>
        </w:tc>
        <w:tc>
          <w:tcPr>
            <w:tcW w:w="0" w:type="dxa"/>
            <w:vAlign w:val="bottom"/>
          </w:tcPr>
          <w:p>
            <w:pPr>
              <w:spacing w:after="0"/>
              <w:rPr>
                <w:sz w:val="1"/>
                <w:szCs w:val="1"/>
                <w:color w:val="auto"/>
              </w:rPr>
            </w:pPr>
          </w:p>
        </w:tc>
      </w:tr>
      <w:tr>
        <w:trPr>
          <w:trHeight w:val="175"/>
        </w:trPr>
        <w:tc>
          <w:tcPr>
            <w:tcW w:w="4080" w:type="dxa"/>
            <w:vAlign w:val="bottom"/>
            <w:vMerge w:val="restart"/>
          </w:tcPr>
          <w:p>
            <w:pPr>
              <w:ind w:left="100"/>
              <w:spacing w:after="0"/>
              <w:rPr>
                <w:sz w:val="20"/>
                <w:szCs w:val="20"/>
                <w:color w:val="auto"/>
              </w:rPr>
            </w:pPr>
            <w:r>
              <w:rPr>
                <w:rFonts w:ascii="Arial" w:cs="Arial" w:eastAsia="Arial" w:hAnsi="Arial"/>
                <w:sz w:val="20"/>
                <w:szCs w:val="20"/>
                <w:color w:val="auto"/>
              </w:rPr>
              <w:t>expenses</w:t>
            </w:r>
            <w:r>
              <w:rPr>
                <w:rFonts w:ascii="Arial" w:cs="Arial" w:eastAsia="Arial" w:hAnsi="Arial"/>
                <w:sz w:val="32"/>
                <w:szCs w:val="32"/>
                <w:color w:val="auto"/>
                <w:vertAlign w:val="superscript"/>
              </w:rPr>
              <w:t>7</w:t>
            </w: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080" w:type="dxa"/>
            <w:vAlign w:val="bottom"/>
          </w:tcPr>
          <w:p>
            <w:pPr>
              <w:ind w:left="100"/>
              <w:spacing w:after="0"/>
              <w:rPr>
                <w:sz w:val="20"/>
                <w:szCs w:val="20"/>
                <w:color w:val="auto"/>
              </w:rPr>
            </w:pPr>
            <w:r>
              <w:rPr>
                <w:rFonts w:ascii="Arial" w:cs="Arial" w:eastAsia="Arial" w:hAnsi="Arial"/>
                <w:sz w:val="20"/>
                <w:szCs w:val="20"/>
                <w:color w:val="auto"/>
              </w:rPr>
              <w:t>Operating margin</w:t>
            </w:r>
            <w:r>
              <w:rPr>
                <w:rFonts w:ascii="Arial" w:cs="Arial" w:eastAsia="Arial" w:hAnsi="Arial"/>
                <w:sz w:val="32"/>
                <w:szCs w:val="32"/>
                <w:color w:val="auto"/>
                <w:vertAlign w:val="superscript"/>
              </w:rPr>
              <w:t>8</w:t>
            </w:r>
          </w:p>
        </w:tc>
        <w:tc>
          <w:tcPr>
            <w:tcW w:w="1440" w:type="dxa"/>
            <w:vAlign w:val="bottom"/>
          </w:tcPr>
          <w:p>
            <w:pPr>
              <w:jc w:val="center"/>
              <w:ind w:left="321"/>
              <w:spacing w:after="0"/>
              <w:rPr>
                <w:sz w:val="20"/>
                <w:szCs w:val="20"/>
                <w:color w:val="auto"/>
              </w:rPr>
            </w:pPr>
            <w:r>
              <w:rPr>
                <w:rFonts w:ascii="Arial" w:cs="Arial" w:eastAsia="Arial" w:hAnsi="Arial"/>
                <w:sz w:val="20"/>
                <w:szCs w:val="20"/>
                <w:color w:val="auto"/>
              </w:rPr>
              <w:t>39.1%</w:t>
            </w:r>
          </w:p>
        </w:tc>
        <w:tc>
          <w:tcPr>
            <w:tcW w:w="1060" w:type="dxa"/>
            <w:vAlign w:val="bottom"/>
          </w:tcPr>
          <w:p>
            <w:pPr>
              <w:jc w:val="right"/>
              <w:ind w:right="141"/>
              <w:spacing w:after="0"/>
              <w:rPr>
                <w:sz w:val="20"/>
                <w:szCs w:val="20"/>
                <w:color w:val="auto"/>
              </w:rPr>
            </w:pPr>
            <w:r>
              <w:rPr>
                <w:rFonts w:ascii="Arial" w:cs="Arial" w:eastAsia="Arial" w:hAnsi="Arial"/>
                <w:sz w:val="20"/>
                <w:szCs w:val="20"/>
                <w:color w:val="auto"/>
              </w:rPr>
              <w:t>39.8%</w:t>
            </w:r>
          </w:p>
        </w:tc>
        <w:tc>
          <w:tcPr>
            <w:tcW w:w="1140" w:type="dxa"/>
            <w:vAlign w:val="bottom"/>
          </w:tcPr>
          <w:p>
            <w:pPr>
              <w:spacing w:after="0"/>
              <w:rPr>
                <w:sz w:val="24"/>
                <w:szCs w:val="24"/>
                <w:color w:val="auto"/>
              </w:rPr>
            </w:pPr>
          </w:p>
        </w:tc>
        <w:tc>
          <w:tcPr>
            <w:tcW w:w="1180" w:type="dxa"/>
            <w:vAlign w:val="bottom"/>
          </w:tcPr>
          <w:p>
            <w:pPr>
              <w:jc w:val="right"/>
              <w:ind w:right="141"/>
              <w:spacing w:after="0"/>
              <w:rPr>
                <w:sz w:val="20"/>
                <w:szCs w:val="20"/>
                <w:color w:val="auto"/>
              </w:rPr>
            </w:pPr>
            <w:r>
              <w:rPr>
                <w:rFonts w:ascii="Arial" w:cs="Arial" w:eastAsia="Arial" w:hAnsi="Arial"/>
                <w:sz w:val="20"/>
                <w:szCs w:val="20"/>
                <w:color w:val="auto"/>
              </w:rPr>
              <w:t>36.3%</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36.3%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80" w:type="dxa"/>
            <w:vAlign w:val="bottom"/>
          </w:tcPr>
          <w:p>
            <w:pPr>
              <w:ind w:left="100"/>
              <w:spacing w:after="0"/>
              <w:rPr>
                <w:sz w:val="20"/>
                <w:szCs w:val="20"/>
                <w:color w:val="auto"/>
              </w:rPr>
            </w:pPr>
            <w:r>
              <w:rPr>
                <w:rFonts w:ascii="Arial" w:cs="Arial" w:eastAsia="Arial" w:hAnsi="Arial"/>
                <w:sz w:val="20"/>
                <w:szCs w:val="20"/>
                <w:color w:val="auto"/>
              </w:rPr>
              <w:t>Assets under management (billions)</w:t>
            </w:r>
          </w:p>
        </w:tc>
        <w:tc>
          <w:tcPr>
            <w:tcW w:w="1440" w:type="dxa"/>
            <w:vAlign w:val="bottom"/>
          </w:tcPr>
          <w:p>
            <w:pPr>
              <w:jc w:val="center"/>
              <w:ind w:left="321"/>
              <w:spacing w:after="0"/>
              <w:rPr>
                <w:sz w:val="20"/>
                <w:szCs w:val="20"/>
                <w:color w:val="auto"/>
              </w:rPr>
            </w:pPr>
            <w:r>
              <w:rPr>
                <w:rFonts w:ascii="Arial" w:cs="Arial" w:eastAsia="Arial" w:hAnsi="Arial"/>
                <w:sz w:val="20"/>
                <w:szCs w:val="20"/>
                <w:color w:val="auto"/>
              </w:rPr>
              <w:t>$581.7</w:t>
            </w:r>
          </w:p>
        </w:tc>
        <w:tc>
          <w:tcPr>
            <w:tcW w:w="1060" w:type="dxa"/>
            <w:vAlign w:val="bottom"/>
          </w:tcPr>
          <w:p>
            <w:pPr>
              <w:jc w:val="right"/>
              <w:ind w:right="121"/>
              <w:spacing w:after="0"/>
              <w:rPr>
                <w:sz w:val="20"/>
                <w:szCs w:val="20"/>
                <w:color w:val="auto"/>
              </w:rPr>
            </w:pPr>
            <w:r>
              <w:rPr>
                <w:rFonts w:ascii="Arial" w:cs="Arial" w:eastAsia="Arial" w:hAnsi="Arial"/>
                <w:sz w:val="20"/>
                <w:szCs w:val="20"/>
                <w:color w:val="auto"/>
              </w:rPr>
              <w:t>$601.6</w:t>
            </w:r>
          </w:p>
        </w:tc>
        <w:tc>
          <w:tcPr>
            <w:tcW w:w="1140" w:type="dxa"/>
            <w:vAlign w:val="bottom"/>
          </w:tcPr>
          <w:p>
            <w:pPr>
              <w:jc w:val="right"/>
              <w:ind w:right="221"/>
              <w:spacing w:after="0"/>
              <w:rPr>
                <w:sz w:val="20"/>
                <w:szCs w:val="20"/>
                <w:color w:val="auto"/>
              </w:rPr>
            </w:pPr>
            <w:r>
              <w:rPr>
                <w:rFonts w:ascii="Arial" w:cs="Arial" w:eastAsia="Arial" w:hAnsi="Arial"/>
                <w:sz w:val="20"/>
                <w:szCs w:val="20"/>
                <w:color w:val="auto"/>
              </w:rPr>
              <w:t>(3)%</w:t>
            </w: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660" w:right="740" w:hanging="328"/>
        <w:spacing w:after="0" w:line="259" w:lineRule="auto"/>
        <w:tabs>
          <w:tab w:leader="none" w:pos="6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Pre-tax operating earnings </w:t>
      </w:r>
      <w:r>
        <w:rPr>
          <w:rFonts w:ascii="Arial" w:cs="Arial" w:eastAsia="Arial" w:hAnsi="Arial"/>
          <w:sz w:val="20"/>
          <w:szCs w:val="20"/>
          <w:color w:val="auto"/>
        </w:rPr>
        <w:t>decreased $5.4 million primarily due to lower operating revenues less pass-through</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w:t>
      </w:r>
    </w:p>
    <w:p>
      <w:pPr>
        <w:spacing w:after="0" w:line="151" w:lineRule="exact"/>
        <w:rPr>
          <w:rFonts w:ascii="Arial" w:cs="Arial" w:eastAsia="Arial" w:hAnsi="Arial"/>
          <w:sz w:val="20"/>
          <w:szCs w:val="20"/>
          <w:b w:val="1"/>
          <w:bCs w:val="1"/>
          <w:color w:val="auto"/>
        </w:rPr>
      </w:pPr>
    </w:p>
    <w:p>
      <w:pPr>
        <w:ind w:left="660" w:hanging="328"/>
        <w:spacing w:after="0"/>
        <w:tabs>
          <w:tab w:leader="none" w:pos="6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Operating revenues less pass-through expenses </w:t>
      </w:r>
      <w:r>
        <w:rPr>
          <w:rFonts w:ascii="Arial" w:cs="Arial" w:eastAsia="Arial" w:hAnsi="Arial"/>
          <w:sz w:val="20"/>
          <w:szCs w:val="20"/>
          <w:color w:val="auto"/>
        </w:rPr>
        <w:t>decreased $7.9 million primarily due to lower management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Pre-tax operating earnings = operating earnings before income taxes and after noncontrolling interest.</w:t>
      </w:r>
    </w:p>
    <w:p>
      <w:pPr>
        <w:spacing w:after="0" w:line="18" w:lineRule="exact"/>
        <w:rPr>
          <w:sz w:val="20"/>
          <w:szCs w:val="20"/>
          <w:color w:val="auto"/>
        </w:rPr>
      </w:pPr>
    </w:p>
    <w:p>
      <w:pPr>
        <w:ind w:right="860" w:firstLine="8"/>
        <w:spacing w:after="0" w:line="193" w:lineRule="auto"/>
        <w:tabs>
          <w:tab w:leader="none" w:pos="106"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Net revenue = operating revenues less: benefits, claims and settlement expenses, liability for future policy benefits remeasurement (gain) loss, market risk benefit remeasurement (gain) loss, and dividends to policyholders.</w:t>
      </w:r>
    </w:p>
    <w:p>
      <w:pPr>
        <w:spacing w:after="0" w:line="183"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6</w:t>
      </w:r>
      <w:r>
        <w:rPr>
          <w:rFonts w:ascii="Arial" w:cs="Arial" w:eastAsia="Arial" w:hAnsi="Arial"/>
          <w:sz w:val="14"/>
          <w:szCs w:val="14"/>
          <w:color w:val="auto"/>
        </w:rPr>
        <w:t xml:space="preserve"> Operating margin for Retirement and Income Solutions = pre-tax operating earnings divided by net revenue.</w:t>
      </w:r>
    </w:p>
    <w:p>
      <w:pPr>
        <w:ind w:right="140"/>
        <w:spacing w:after="0" w:line="204" w:lineRule="auto"/>
        <w:rPr>
          <w:rFonts w:ascii="Arial" w:cs="Arial" w:eastAsia="Arial" w:hAnsi="Arial"/>
          <w:sz w:val="24"/>
          <w:szCs w:val="24"/>
          <w:color w:val="auto"/>
          <w:vertAlign w:val="superscript"/>
        </w:rPr>
      </w:pPr>
      <w:r>
        <w:rPr>
          <w:rFonts w:ascii="Arial" w:cs="Arial" w:eastAsia="Arial" w:hAnsi="Arial"/>
          <w:sz w:val="23"/>
          <w:szCs w:val="23"/>
          <w:color w:val="auto"/>
          <w:vertAlign w:val="superscript"/>
        </w:rPr>
        <w:t>7</w:t>
      </w:r>
      <w:r>
        <w:rPr>
          <w:rFonts w:ascii="Arial" w:cs="Arial" w:eastAsia="Arial" w:hAnsi="Arial"/>
          <w:sz w:val="14"/>
          <w:szCs w:val="14"/>
          <w:color w:val="auto"/>
        </w:rPr>
        <w:t xml:space="preserve"> The company has provided reconciliations of the non-GAAP measures to the most directly comparable U.S. GAAP measures at the end of the release. The company has determined this measure is more representative of underlying operating revenues growth for Investment Management as it removes commissions and other expenses that are collected through fee revenue and passed through expenses with no impact to pre-tax operating earnings.</w:t>
      </w:r>
    </w:p>
    <w:p>
      <w:pPr>
        <w:spacing w:after="0" w:line="1"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3"/>
          <w:szCs w:val="23"/>
          <w:color w:val="auto"/>
          <w:vertAlign w:val="superscript"/>
        </w:rPr>
        <w:t>8</w:t>
      </w:r>
      <w:r>
        <w:rPr>
          <w:rFonts w:ascii="Arial" w:cs="Arial" w:eastAsia="Arial" w:hAnsi="Arial"/>
          <w:sz w:val="14"/>
          <w:szCs w:val="14"/>
          <w:color w:val="auto"/>
        </w:rPr>
        <w:t xml:space="preserve"> Operating margin for Investment Management = pre-tax operating earnings adjusted for noncontrolling interest divided by operating revenues less pass-through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Principal Asset Management - International Pension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80" w:type="dxa"/>
            <w:vAlign w:val="bottom"/>
            <w:shd w:val="clear" w:color="auto" w:fill="004C97"/>
          </w:tcPr>
          <w:p>
            <w:pPr>
              <w:spacing w:after="0"/>
              <w:rPr>
                <w:sz w:val="24"/>
                <w:szCs w:val="24"/>
                <w:color w:val="auto"/>
              </w:rPr>
            </w:pPr>
          </w:p>
        </w:tc>
        <w:tc>
          <w:tcPr>
            <w:tcW w:w="3780" w:type="dxa"/>
            <w:vAlign w:val="bottom"/>
            <w:gridSpan w:val="3"/>
            <w:shd w:val="clear" w:color="auto" w:fill="004C97"/>
          </w:tcPr>
          <w:p>
            <w:pPr>
              <w:jc w:val="right"/>
              <w:ind w:right="581"/>
              <w:spacing w:after="0"/>
              <w:rPr>
                <w:sz w:val="20"/>
                <w:szCs w:val="20"/>
                <w:color w:val="auto"/>
              </w:rPr>
            </w:pPr>
            <w:r>
              <w:rPr>
                <w:rFonts w:ascii="Arial" w:cs="Arial" w:eastAsia="Arial" w:hAnsi="Arial"/>
                <w:sz w:val="20"/>
                <w:szCs w:val="20"/>
                <w:color w:val="FFFFFF"/>
              </w:rPr>
              <w:t>Three Months Ended,</w:t>
            </w:r>
          </w:p>
        </w:tc>
        <w:tc>
          <w:tcPr>
            <w:tcW w:w="3480" w:type="dxa"/>
            <w:vAlign w:val="bottom"/>
            <w:gridSpan w:val="3"/>
            <w:shd w:val="clear" w:color="auto" w:fill="004C97"/>
          </w:tcPr>
          <w:p>
            <w:pPr>
              <w:jc w:val="center"/>
              <w:spacing w:after="0"/>
              <w:rPr>
                <w:sz w:val="20"/>
                <w:szCs w:val="20"/>
                <w:color w:val="auto"/>
              </w:rPr>
            </w:pPr>
            <w:r>
              <w:rPr>
                <w:rFonts w:ascii="Arial" w:cs="Arial" w:eastAsia="Arial" w:hAnsi="Arial"/>
                <w:sz w:val="20"/>
                <w:szCs w:val="20"/>
                <w:color w:val="FFFFFF"/>
                <w:w w:val="98"/>
              </w:rPr>
              <w:t>Trailing Twelve Months,</w:t>
            </w:r>
          </w:p>
        </w:tc>
      </w:tr>
      <w:tr>
        <w:trPr>
          <w:trHeight w:val="333"/>
        </w:trPr>
        <w:tc>
          <w:tcPr>
            <w:tcW w:w="3980" w:type="dxa"/>
            <w:vAlign w:val="bottom"/>
            <w:tcBorders>
              <w:bottom w:val="single" w:sz="8" w:color="004C97"/>
            </w:tcBorders>
            <w:shd w:val="clear" w:color="auto" w:fill="004C97"/>
          </w:tcPr>
          <w:p>
            <w:pPr>
              <w:spacing w:after="0"/>
              <w:rPr>
                <w:sz w:val="24"/>
                <w:szCs w:val="24"/>
                <w:color w:val="auto"/>
              </w:rPr>
            </w:pPr>
          </w:p>
        </w:tc>
        <w:tc>
          <w:tcPr>
            <w:tcW w:w="1540" w:type="dxa"/>
            <w:vAlign w:val="bottom"/>
            <w:tcBorders>
              <w:bottom w:val="single" w:sz="8" w:color="004C97"/>
            </w:tcBorders>
            <w:shd w:val="clear" w:color="auto" w:fill="004C97"/>
          </w:tcPr>
          <w:p>
            <w:pPr>
              <w:jc w:val="center"/>
              <w:ind w:left="421"/>
              <w:spacing w:after="0"/>
              <w:rPr>
                <w:sz w:val="20"/>
                <w:szCs w:val="20"/>
                <w:color w:val="auto"/>
              </w:rPr>
            </w:pPr>
            <w:r>
              <w:rPr>
                <w:rFonts w:ascii="Arial" w:cs="Arial" w:eastAsia="Arial" w:hAnsi="Arial"/>
                <w:sz w:val="20"/>
                <w:szCs w:val="20"/>
                <w:color w:val="FFFFFF"/>
              </w:rPr>
              <w:t>3Q26</w:t>
            </w:r>
          </w:p>
        </w:tc>
        <w:tc>
          <w:tcPr>
            <w:tcW w:w="10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8"/>
              </w:rPr>
              <w:t>3Q25</w:t>
            </w:r>
          </w:p>
        </w:tc>
        <w:tc>
          <w:tcPr>
            <w:tcW w:w="1200" w:type="dxa"/>
            <w:vAlign w:val="bottom"/>
            <w:tcBorders>
              <w:bottom w:val="single" w:sz="8" w:color="004C97"/>
            </w:tcBorders>
            <w:shd w:val="clear" w:color="auto" w:fill="004C97"/>
          </w:tcPr>
          <w:p>
            <w:pPr>
              <w:jc w:val="right"/>
              <w:ind w:right="161"/>
              <w:spacing w:after="0"/>
              <w:rPr>
                <w:sz w:val="20"/>
                <w:szCs w:val="20"/>
                <w:color w:val="auto"/>
              </w:rPr>
            </w:pPr>
            <w:r>
              <w:rPr>
                <w:rFonts w:ascii="Arial" w:cs="Arial" w:eastAsia="Arial" w:hAnsi="Arial"/>
                <w:sz w:val="20"/>
                <w:szCs w:val="20"/>
                <w:color w:val="FFFFFF"/>
              </w:rPr>
              <w:t>Change</w:t>
            </w:r>
          </w:p>
        </w:tc>
        <w:tc>
          <w:tcPr>
            <w:tcW w:w="11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3Q26</w:t>
            </w:r>
          </w:p>
        </w:tc>
        <w:tc>
          <w:tcPr>
            <w:tcW w:w="112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3Q25</w:t>
            </w:r>
          </w:p>
        </w:tc>
        <w:tc>
          <w:tcPr>
            <w:tcW w:w="122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9"/>
              </w:rPr>
              <w:t>Change</w:t>
            </w:r>
          </w:p>
        </w:tc>
      </w:tr>
      <w:tr>
        <w:trPr>
          <w:trHeight w:val="293"/>
        </w:trPr>
        <w:tc>
          <w:tcPr>
            <w:tcW w:w="3980" w:type="dxa"/>
            <w:vAlign w:val="bottom"/>
          </w:tcPr>
          <w:p>
            <w:pPr>
              <w:ind w:left="100"/>
              <w:spacing w:after="0"/>
              <w:rPr>
                <w:sz w:val="20"/>
                <w:szCs w:val="20"/>
                <w:color w:val="auto"/>
              </w:rPr>
            </w:pPr>
            <w:r>
              <w:rPr>
                <w:rFonts w:ascii="Arial" w:cs="Arial" w:eastAsia="Arial" w:hAnsi="Arial"/>
                <w:sz w:val="20"/>
                <w:szCs w:val="20"/>
                <w:color w:val="auto"/>
              </w:rPr>
              <w:t>Pre-tax operating earnings</w:t>
            </w:r>
          </w:p>
        </w:tc>
        <w:tc>
          <w:tcPr>
            <w:tcW w:w="1540" w:type="dxa"/>
            <w:vAlign w:val="bottom"/>
          </w:tcPr>
          <w:p>
            <w:pPr>
              <w:jc w:val="center"/>
              <w:ind w:left="421"/>
              <w:spacing w:after="0"/>
              <w:rPr>
                <w:sz w:val="20"/>
                <w:szCs w:val="20"/>
                <w:color w:val="auto"/>
              </w:rPr>
            </w:pPr>
            <w:r>
              <w:rPr>
                <w:rFonts w:ascii="Arial" w:cs="Arial" w:eastAsia="Arial" w:hAnsi="Arial"/>
                <w:sz w:val="20"/>
                <w:szCs w:val="20"/>
                <w:color w:val="auto"/>
                <w:w w:val="99"/>
              </w:rPr>
              <w:t>$62.4</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$101.2</w:t>
            </w:r>
          </w:p>
        </w:tc>
        <w:tc>
          <w:tcPr>
            <w:tcW w:w="1200" w:type="dxa"/>
            <w:vAlign w:val="bottom"/>
          </w:tcPr>
          <w:p>
            <w:pPr>
              <w:jc w:val="right"/>
              <w:ind w:right="241"/>
              <w:spacing w:after="0"/>
              <w:rPr>
                <w:sz w:val="20"/>
                <w:szCs w:val="20"/>
                <w:color w:val="auto"/>
              </w:rPr>
            </w:pPr>
            <w:r>
              <w:rPr>
                <w:rFonts w:ascii="Arial" w:cs="Arial" w:eastAsia="Arial" w:hAnsi="Arial"/>
                <w:sz w:val="20"/>
                <w:szCs w:val="20"/>
                <w:color w:val="auto"/>
              </w:rPr>
              <w:t>(38)%</w:t>
            </w:r>
          </w:p>
        </w:tc>
        <w:tc>
          <w:tcPr>
            <w:tcW w:w="1140" w:type="dxa"/>
            <w:vAlign w:val="bottom"/>
          </w:tcPr>
          <w:p>
            <w:pPr>
              <w:jc w:val="center"/>
              <w:spacing w:after="0"/>
              <w:rPr>
                <w:sz w:val="20"/>
                <w:szCs w:val="20"/>
                <w:color w:val="auto"/>
              </w:rPr>
            </w:pPr>
            <w:r>
              <w:rPr>
                <w:rFonts w:ascii="Arial" w:cs="Arial" w:eastAsia="Arial" w:hAnsi="Arial"/>
                <w:sz w:val="20"/>
                <w:szCs w:val="20"/>
                <w:color w:val="auto"/>
              </w:rPr>
              <w:t>$307.7</w:t>
            </w:r>
          </w:p>
        </w:tc>
        <w:tc>
          <w:tcPr>
            <w:tcW w:w="1120" w:type="dxa"/>
            <w:vAlign w:val="bottom"/>
          </w:tcPr>
          <w:p>
            <w:pPr>
              <w:jc w:val="center"/>
              <w:spacing w:after="0"/>
              <w:rPr>
                <w:sz w:val="20"/>
                <w:szCs w:val="20"/>
                <w:color w:val="auto"/>
              </w:rPr>
            </w:pPr>
            <w:r>
              <w:rPr>
                <w:rFonts w:ascii="Arial" w:cs="Arial" w:eastAsia="Arial" w:hAnsi="Arial"/>
                <w:sz w:val="20"/>
                <w:szCs w:val="20"/>
                <w:color w:val="auto"/>
              </w:rPr>
              <w:t>$303.0</w:t>
            </w:r>
          </w:p>
        </w:tc>
        <w:tc>
          <w:tcPr>
            <w:tcW w:w="1220" w:type="dxa"/>
            <w:vAlign w:val="bottom"/>
          </w:tcPr>
          <w:p>
            <w:pPr>
              <w:jc w:val="center"/>
              <w:spacing w:after="0"/>
              <w:rPr>
                <w:sz w:val="20"/>
                <w:szCs w:val="20"/>
                <w:color w:val="auto"/>
              </w:rPr>
            </w:pPr>
            <w:r>
              <w:rPr>
                <w:rFonts w:ascii="Arial" w:cs="Arial" w:eastAsia="Arial" w:hAnsi="Arial"/>
                <w:sz w:val="20"/>
                <w:szCs w:val="20"/>
                <w:color w:val="auto"/>
                <w:w w:val="96"/>
              </w:rPr>
              <w:t>2%</w:t>
            </w:r>
          </w:p>
        </w:tc>
      </w:tr>
      <w:tr>
        <w:trPr>
          <w:trHeight w:val="324"/>
        </w:trPr>
        <w:tc>
          <w:tcPr>
            <w:tcW w:w="3980" w:type="dxa"/>
            <w:vAlign w:val="bottom"/>
          </w:tcPr>
          <w:p>
            <w:pPr>
              <w:ind w:left="100"/>
              <w:spacing w:after="0"/>
              <w:rPr>
                <w:sz w:val="20"/>
                <w:szCs w:val="20"/>
                <w:color w:val="auto"/>
              </w:rPr>
            </w:pPr>
            <w:r>
              <w:rPr>
                <w:rFonts w:ascii="Arial" w:cs="Arial" w:eastAsia="Arial" w:hAnsi="Arial"/>
                <w:sz w:val="20"/>
                <w:szCs w:val="20"/>
                <w:color w:val="auto"/>
              </w:rPr>
              <w:t>Net revenue</w:t>
            </w:r>
          </w:p>
        </w:tc>
        <w:tc>
          <w:tcPr>
            <w:tcW w:w="1540" w:type="dxa"/>
            <w:vAlign w:val="bottom"/>
          </w:tcPr>
          <w:p>
            <w:pPr>
              <w:jc w:val="center"/>
              <w:ind w:left="421"/>
              <w:spacing w:after="0"/>
              <w:rPr>
                <w:sz w:val="20"/>
                <w:szCs w:val="20"/>
                <w:color w:val="auto"/>
              </w:rPr>
            </w:pPr>
            <w:r>
              <w:rPr>
                <w:rFonts w:ascii="Arial" w:cs="Arial" w:eastAsia="Arial" w:hAnsi="Arial"/>
                <w:sz w:val="20"/>
                <w:szCs w:val="20"/>
                <w:color w:val="auto"/>
              </w:rPr>
              <w:t>$144.1</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$187.9</w:t>
            </w:r>
          </w:p>
        </w:tc>
        <w:tc>
          <w:tcPr>
            <w:tcW w:w="1200" w:type="dxa"/>
            <w:vAlign w:val="bottom"/>
          </w:tcPr>
          <w:p>
            <w:pPr>
              <w:jc w:val="right"/>
              <w:ind w:right="241"/>
              <w:spacing w:after="0"/>
              <w:rPr>
                <w:sz w:val="20"/>
                <w:szCs w:val="20"/>
                <w:color w:val="auto"/>
              </w:rPr>
            </w:pPr>
            <w:r>
              <w:rPr>
                <w:rFonts w:ascii="Arial" w:cs="Arial" w:eastAsia="Arial" w:hAnsi="Arial"/>
                <w:sz w:val="20"/>
                <w:szCs w:val="20"/>
                <w:color w:val="auto"/>
              </w:rPr>
              <w:t>(23)%</w:t>
            </w:r>
          </w:p>
        </w:tc>
        <w:tc>
          <w:tcPr>
            <w:tcW w:w="1140" w:type="dxa"/>
            <w:vAlign w:val="bottom"/>
          </w:tcPr>
          <w:p>
            <w:pPr>
              <w:jc w:val="center"/>
              <w:spacing w:after="0"/>
              <w:rPr>
                <w:sz w:val="20"/>
                <w:szCs w:val="20"/>
                <w:color w:val="auto"/>
              </w:rPr>
            </w:pPr>
            <w:r>
              <w:rPr>
                <w:rFonts w:ascii="Arial" w:cs="Arial" w:eastAsia="Arial" w:hAnsi="Arial"/>
                <w:sz w:val="20"/>
                <w:szCs w:val="20"/>
                <w:color w:val="auto"/>
              </w:rPr>
              <w:t>$650.3</w:t>
            </w:r>
          </w:p>
        </w:tc>
        <w:tc>
          <w:tcPr>
            <w:tcW w:w="1120" w:type="dxa"/>
            <w:vAlign w:val="bottom"/>
          </w:tcPr>
          <w:p>
            <w:pPr>
              <w:jc w:val="center"/>
              <w:spacing w:after="0"/>
              <w:rPr>
                <w:sz w:val="20"/>
                <w:szCs w:val="20"/>
                <w:color w:val="auto"/>
              </w:rPr>
            </w:pPr>
            <w:r>
              <w:rPr>
                <w:rFonts w:ascii="Arial" w:cs="Arial" w:eastAsia="Arial" w:hAnsi="Arial"/>
                <w:sz w:val="20"/>
                <w:szCs w:val="20"/>
                <w:color w:val="auto"/>
              </w:rPr>
              <w:t>$630.6</w:t>
            </w:r>
          </w:p>
        </w:tc>
        <w:tc>
          <w:tcPr>
            <w:tcW w:w="1220" w:type="dxa"/>
            <w:vAlign w:val="bottom"/>
          </w:tcPr>
          <w:p>
            <w:pPr>
              <w:jc w:val="center"/>
              <w:spacing w:after="0"/>
              <w:rPr>
                <w:sz w:val="20"/>
                <w:szCs w:val="20"/>
                <w:color w:val="auto"/>
              </w:rPr>
            </w:pPr>
            <w:r>
              <w:rPr>
                <w:rFonts w:ascii="Arial" w:cs="Arial" w:eastAsia="Arial" w:hAnsi="Arial"/>
                <w:sz w:val="20"/>
                <w:szCs w:val="20"/>
                <w:color w:val="auto"/>
                <w:w w:val="96"/>
              </w:rPr>
              <w:t>3%</w:t>
            </w:r>
          </w:p>
        </w:tc>
      </w:tr>
      <w:tr>
        <w:trPr>
          <w:trHeight w:val="441"/>
        </w:trPr>
        <w:tc>
          <w:tcPr>
            <w:tcW w:w="3980" w:type="dxa"/>
            <w:vAlign w:val="bottom"/>
          </w:tcPr>
          <w:p>
            <w:pPr>
              <w:ind w:left="100"/>
              <w:spacing w:after="0"/>
              <w:rPr>
                <w:sz w:val="20"/>
                <w:szCs w:val="20"/>
                <w:color w:val="auto"/>
              </w:rPr>
            </w:pPr>
            <w:r>
              <w:rPr>
                <w:rFonts w:ascii="Arial" w:cs="Arial" w:eastAsia="Arial" w:hAnsi="Arial"/>
                <w:sz w:val="20"/>
                <w:szCs w:val="20"/>
                <w:color w:val="auto"/>
              </w:rPr>
              <w:t>Operating margin</w:t>
            </w:r>
            <w:r>
              <w:rPr>
                <w:rFonts w:ascii="Arial" w:cs="Arial" w:eastAsia="Arial" w:hAnsi="Arial"/>
                <w:sz w:val="32"/>
                <w:szCs w:val="32"/>
                <w:color w:val="auto"/>
                <w:vertAlign w:val="superscript"/>
              </w:rPr>
              <w:t>9</w:t>
            </w:r>
          </w:p>
        </w:tc>
        <w:tc>
          <w:tcPr>
            <w:tcW w:w="1540" w:type="dxa"/>
            <w:vAlign w:val="bottom"/>
          </w:tcPr>
          <w:p>
            <w:pPr>
              <w:jc w:val="center"/>
              <w:ind w:left="421"/>
              <w:spacing w:after="0"/>
              <w:rPr>
                <w:sz w:val="20"/>
                <w:szCs w:val="20"/>
                <w:color w:val="auto"/>
              </w:rPr>
            </w:pPr>
            <w:r>
              <w:rPr>
                <w:rFonts w:ascii="Arial" w:cs="Arial" w:eastAsia="Arial" w:hAnsi="Arial"/>
                <w:sz w:val="20"/>
                <w:szCs w:val="20"/>
                <w:color w:val="auto"/>
              </w:rPr>
              <w:t>43.3%</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53.9%</w:t>
            </w:r>
          </w:p>
        </w:tc>
        <w:tc>
          <w:tcPr>
            <w:tcW w:w="120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47.3%</w:t>
            </w:r>
          </w:p>
        </w:tc>
        <w:tc>
          <w:tcPr>
            <w:tcW w:w="1120" w:type="dxa"/>
            <w:vAlign w:val="bottom"/>
          </w:tcPr>
          <w:p>
            <w:pPr>
              <w:jc w:val="right"/>
              <w:ind w:right="141"/>
              <w:spacing w:after="0"/>
              <w:rPr>
                <w:sz w:val="20"/>
                <w:szCs w:val="20"/>
                <w:color w:val="auto"/>
              </w:rPr>
            </w:pPr>
            <w:r>
              <w:rPr>
                <w:rFonts w:ascii="Arial" w:cs="Arial" w:eastAsia="Arial" w:hAnsi="Arial"/>
                <w:sz w:val="20"/>
                <w:szCs w:val="20"/>
                <w:color w:val="auto"/>
              </w:rPr>
              <w:t>48.0%</w:t>
            </w:r>
          </w:p>
        </w:tc>
        <w:tc>
          <w:tcPr>
            <w:tcW w:w="1220" w:type="dxa"/>
            <w:vAlign w:val="bottom"/>
          </w:tcPr>
          <w:p>
            <w:pPr>
              <w:spacing w:after="0"/>
              <w:rPr>
                <w:sz w:val="24"/>
                <w:szCs w:val="24"/>
                <w:color w:val="auto"/>
              </w:rPr>
            </w:pPr>
          </w:p>
        </w:tc>
      </w:tr>
      <w:tr>
        <w:trPr>
          <w:trHeight w:val="275"/>
        </w:trPr>
        <w:tc>
          <w:tcPr>
            <w:tcW w:w="3980" w:type="dxa"/>
            <w:vAlign w:val="bottom"/>
          </w:tcPr>
          <w:p>
            <w:pPr>
              <w:ind w:left="100"/>
              <w:spacing w:after="0"/>
              <w:rPr>
                <w:sz w:val="20"/>
                <w:szCs w:val="20"/>
                <w:color w:val="auto"/>
              </w:rPr>
            </w:pPr>
            <w:r>
              <w:rPr>
                <w:rFonts w:ascii="Arial" w:cs="Arial" w:eastAsia="Arial" w:hAnsi="Arial"/>
                <w:sz w:val="20"/>
                <w:szCs w:val="20"/>
                <w:color w:val="auto"/>
              </w:rPr>
              <w:t>Assets under management (billions)</w:t>
            </w:r>
          </w:p>
        </w:tc>
        <w:tc>
          <w:tcPr>
            <w:tcW w:w="1540" w:type="dxa"/>
            <w:vAlign w:val="bottom"/>
          </w:tcPr>
          <w:p>
            <w:pPr>
              <w:jc w:val="center"/>
              <w:ind w:left="421"/>
              <w:spacing w:after="0"/>
              <w:rPr>
                <w:sz w:val="20"/>
                <w:szCs w:val="20"/>
                <w:color w:val="auto"/>
              </w:rPr>
            </w:pPr>
            <w:r>
              <w:rPr>
                <w:rFonts w:ascii="Arial" w:cs="Arial" w:eastAsia="Arial" w:hAnsi="Arial"/>
                <w:sz w:val="20"/>
                <w:szCs w:val="20"/>
                <w:color w:val="auto"/>
              </w:rPr>
              <w:t>$166.2</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$150.7</w:t>
            </w:r>
          </w:p>
        </w:tc>
        <w:tc>
          <w:tcPr>
            <w:tcW w:w="1200" w:type="dxa"/>
            <w:vAlign w:val="bottom"/>
          </w:tcPr>
          <w:p>
            <w:pPr>
              <w:jc w:val="right"/>
              <w:ind w:right="281"/>
              <w:spacing w:after="0"/>
              <w:rPr>
                <w:sz w:val="20"/>
                <w:szCs w:val="20"/>
                <w:color w:val="auto"/>
              </w:rPr>
            </w:pPr>
            <w:r>
              <w:rPr>
                <w:rFonts w:ascii="Arial" w:cs="Arial" w:eastAsia="Arial" w:hAnsi="Arial"/>
                <w:sz w:val="20"/>
                <w:szCs w:val="20"/>
                <w:color w:val="auto"/>
              </w:rPr>
              <w:t>10%</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pacing w:after="0" w:line="2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Pre-tax operating earnings </w:t>
      </w:r>
      <w:r>
        <w:rPr>
          <w:rFonts w:ascii="Arial" w:cs="Arial" w:eastAsia="Arial" w:hAnsi="Arial"/>
          <w:sz w:val="20"/>
          <w:szCs w:val="20"/>
          <w:color w:val="auto"/>
        </w:rPr>
        <w:t>decreased $38.8 million due to lower net revenue</w:t>
      </w:r>
      <w:r>
        <w:rPr>
          <w:rFonts w:ascii="Arial" w:cs="Arial" w:eastAsia="Arial" w:hAnsi="Arial"/>
          <w:sz w:val="17"/>
          <w:szCs w:val="17"/>
          <w:color w:val="auto"/>
        </w:rPr>
        <w:t>.</w:t>
      </w:r>
    </w:p>
    <w:p>
      <w:pPr>
        <w:spacing w:after="0" w:line="256" w:lineRule="exact"/>
        <w:rPr>
          <w:rFonts w:ascii="Arial" w:cs="Arial" w:eastAsia="Arial" w:hAnsi="Arial"/>
          <w:sz w:val="20"/>
          <w:szCs w:val="20"/>
          <w:b w:val="1"/>
          <w:bCs w:val="1"/>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Net revenue </w:t>
      </w:r>
      <w:r>
        <w:rPr>
          <w:rFonts w:ascii="Arial" w:cs="Arial" w:eastAsia="Arial" w:hAnsi="Arial"/>
          <w:sz w:val="20"/>
          <w:szCs w:val="20"/>
          <w:color w:val="auto"/>
        </w:rPr>
        <w:t>decreased $43.8 million primarily due to unfavorable encaje returns.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Benefits and Protection - Specialty Benefits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shd w:val="clear" w:color="auto" w:fill="004C97"/>
          </w:tcPr>
          <w:p>
            <w:pPr>
              <w:spacing w:after="0"/>
              <w:rPr>
                <w:sz w:val="24"/>
                <w:szCs w:val="24"/>
                <w:color w:val="auto"/>
              </w:rPr>
            </w:pPr>
          </w:p>
        </w:tc>
        <w:tc>
          <w:tcPr>
            <w:tcW w:w="4140" w:type="dxa"/>
            <w:vAlign w:val="bottom"/>
            <w:gridSpan w:val="3"/>
            <w:shd w:val="clear" w:color="auto" w:fill="004C97"/>
          </w:tcPr>
          <w:p>
            <w:pPr>
              <w:ind w:left="1600"/>
              <w:spacing w:after="0"/>
              <w:rPr>
                <w:sz w:val="20"/>
                <w:szCs w:val="20"/>
                <w:color w:val="auto"/>
              </w:rPr>
            </w:pPr>
            <w:r>
              <w:rPr>
                <w:rFonts w:ascii="Arial" w:cs="Arial" w:eastAsia="Arial" w:hAnsi="Arial"/>
                <w:sz w:val="20"/>
                <w:szCs w:val="20"/>
                <w:color w:val="FFFFFF"/>
              </w:rPr>
              <w:t>Three Months Ended,</w:t>
            </w:r>
          </w:p>
        </w:tc>
        <w:tc>
          <w:tcPr>
            <w:tcW w:w="3520" w:type="dxa"/>
            <w:vAlign w:val="bottom"/>
            <w:gridSpan w:val="3"/>
            <w:shd w:val="clear" w:color="auto" w:fill="004C97"/>
          </w:tcPr>
          <w:p>
            <w:pPr>
              <w:ind w:left="740"/>
              <w:spacing w:after="0"/>
              <w:rPr>
                <w:sz w:val="20"/>
                <w:szCs w:val="20"/>
                <w:color w:val="auto"/>
              </w:rPr>
            </w:pPr>
            <w:r>
              <w:rPr>
                <w:rFonts w:ascii="Arial" w:cs="Arial" w:eastAsia="Arial" w:hAnsi="Arial"/>
                <w:sz w:val="20"/>
                <w:szCs w:val="20"/>
                <w:color w:val="FFFFFF"/>
              </w:rPr>
              <w:t>Trailing Twelve Months,</w:t>
            </w:r>
          </w:p>
        </w:tc>
      </w:tr>
      <w:tr>
        <w:trPr>
          <w:trHeight w:val="333"/>
        </w:trPr>
        <w:tc>
          <w:tcPr>
            <w:tcW w:w="3580" w:type="dxa"/>
            <w:vAlign w:val="bottom"/>
            <w:tcBorders>
              <w:bottom w:val="single" w:sz="8" w:color="004C97"/>
            </w:tcBorders>
            <w:shd w:val="clear" w:color="auto" w:fill="004C97"/>
          </w:tcPr>
          <w:p>
            <w:pPr>
              <w:spacing w:after="0"/>
              <w:rPr>
                <w:sz w:val="24"/>
                <w:szCs w:val="24"/>
                <w:color w:val="auto"/>
              </w:rPr>
            </w:pPr>
          </w:p>
        </w:tc>
        <w:tc>
          <w:tcPr>
            <w:tcW w:w="1940" w:type="dxa"/>
            <w:vAlign w:val="bottom"/>
            <w:tcBorders>
              <w:bottom w:val="single" w:sz="8" w:color="004C97"/>
            </w:tcBorders>
            <w:shd w:val="clear" w:color="auto" w:fill="004C97"/>
          </w:tcPr>
          <w:p>
            <w:pPr>
              <w:jc w:val="center"/>
              <w:ind w:left="821"/>
              <w:spacing w:after="0"/>
              <w:rPr>
                <w:sz w:val="20"/>
                <w:szCs w:val="20"/>
                <w:color w:val="auto"/>
              </w:rPr>
            </w:pPr>
            <w:r>
              <w:rPr>
                <w:rFonts w:ascii="Arial" w:cs="Arial" w:eastAsia="Arial" w:hAnsi="Arial"/>
                <w:sz w:val="20"/>
                <w:szCs w:val="20"/>
                <w:color w:val="FFFFFF"/>
              </w:rPr>
              <w:t>3Q26</w:t>
            </w:r>
          </w:p>
        </w:tc>
        <w:tc>
          <w:tcPr>
            <w:tcW w:w="10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8"/>
              </w:rPr>
              <w:t>3Q25</w:t>
            </w:r>
          </w:p>
        </w:tc>
        <w:tc>
          <w:tcPr>
            <w:tcW w:w="1160" w:type="dxa"/>
            <w:vAlign w:val="bottom"/>
            <w:tcBorders>
              <w:bottom w:val="single" w:sz="8" w:color="004C97"/>
            </w:tcBorders>
            <w:shd w:val="clear" w:color="auto" w:fill="004C97"/>
          </w:tcPr>
          <w:p>
            <w:pPr>
              <w:ind w:left="240"/>
              <w:spacing w:after="0"/>
              <w:rPr>
                <w:sz w:val="20"/>
                <w:szCs w:val="20"/>
                <w:color w:val="auto"/>
              </w:rPr>
            </w:pPr>
            <w:r>
              <w:rPr>
                <w:rFonts w:ascii="Arial" w:cs="Arial" w:eastAsia="Arial" w:hAnsi="Arial"/>
                <w:sz w:val="20"/>
                <w:szCs w:val="20"/>
                <w:color w:val="FFFFFF"/>
              </w:rPr>
              <w:t>Change</w:t>
            </w:r>
          </w:p>
        </w:tc>
        <w:tc>
          <w:tcPr>
            <w:tcW w:w="1180" w:type="dxa"/>
            <w:vAlign w:val="bottom"/>
            <w:tcBorders>
              <w:bottom w:val="single" w:sz="8" w:color="004C97"/>
            </w:tcBorders>
            <w:shd w:val="clear" w:color="auto" w:fill="004C97"/>
          </w:tcPr>
          <w:p>
            <w:pPr>
              <w:ind w:left="360"/>
              <w:spacing w:after="0"/>
              <w:rPr>
                <w:sz w:val="20"/>
                <w:szCs w:val="20"/>
                <w:color w:val="auto"/>
              </w:rPr>
            </w:pPr>
            <w:r>
              <w:rPr>
                <w:rFonts w:ascii="Arial" w:cs="Arial" w:eastAsia="Arial" w:hAnsi="Arial"/>
                <w:sz w:val="20"/>
                <w:szCs w:val="20"/>
                <w:color w:val="FFFFFF"/>
              </w:rPr>
              <w:t>3Q26</w:t>
            </w:r>
          </w:p>
        </w:tc>
        <w:tc>
          <w:tcPr>
            <w:tcW w:w="1160" w:type="dxa"/>
            <w:vAlign w:val="bottom"/>
            <w:tcBorders>
              <w:bottom w:val="single" w:sz="8" w:color="004C97"/>
            </w:tcBorders>
            <w:shd w:val="clear" w:color="auto" w:fill="004C97"/>
          </w:tcPr>
          <w:p>
            <w:pPr>
              <w:ind w:left="300"/>
              <w:spacing w:after="0"/>
              <w:rPr>
                <w:sz w:val="20"/>
                <w:szCs w:val="20"/>
                <w:color w:val="auto"/>
              </w:rPr>
            </w:pPr>
            <w:r>
              <w:rPr>
                <w:rFonts w:ascii="Arial" w:cs="Arial" w:eastAsia="Arial" w:hAnsi="Arial"/>
                <w:sz w:val="20"/>
                <w:szCs w:val="20"/>
                <w:color w:val="FFFFFF"/>
              </w:rPr>
              <w:t>3Q25</w:t>
            </w:r>
          </w:p>
        </w:tc>
        <w:tc>
          <w:tcPr>
            <w:tcW w:w="118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9"/>
              </w:rPr>
              <w:t>Change</w:t>
            </w:r>
          </w:p>
        </w:tc>
      </w:tr>
      <w:tr>
        <w:trPr>
          <w:trHeight w:val="293"/>
        </w:trPr>
        <w:tc>
          <w:tcPr>
            <w:tcW w:w="3580" w:type="dxa"/>
            <w:vAlign w:val="bottom"/>
          </w:tcPr>
          <w:p>
            <w:pPr>
              <w:ind w:left="100"/>
              <w:spacing w:after="0"/>
              <w:rPr>
                <w:sz w:val="20"/>
                <w:szCs w:val="20"/>
                <w:color w:val="auto"/>
              </w:rPr>
            </w:pPr>
            <w:r>
              <w:rPr>
                <w:rFonts w:ascii="Arial" w:cs="Arial" w:eastAsia="Arial" w:hAnsi="Arial"/>
                <w:sz w:val="20"/>
                <w:szCs w:val="20"/>
                <w:color w:val="auto"/>
              </w:rPr>
              <w:t>Pre-tax operating earnings</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rPr>
              <w:t>$137.3</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$155.5</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(12)%</w:t>
            </w:r>
          </w:p>
        </w:tc>
        <w:tc>
          <w:tcPr>
            <w:tcW w:w="1180" w:type="dxa"/>
            <w:vAlign w:val="bottom"/>
          </w:tcPr>
          <w:p>
            <w:pPr>
              <w:jc w:val="right"/>
              <w:ind w:right="161"/>
              <w:spacing w:after="0"/>
              <w:rPr>
                <w:sz w:val="20"/>
                <w:szCs w:val="20"/>
                <w:color w:val="auto"/>
              </w:rPr>
            </w:pPr>
            <w:r>
              <w:rPr>
                <w:rFonts w:ascii="Arial" w:cs="Arial" w:eastAsia="Arial" w:hAnsi="Arial"/>
                <w:sz w:val="20"/>
                <w:szCs w:val="20"/>
                <w:color w:val="auto"/>
              </w:rPr>
              <w:t>$575.1</w:t>
            </w:r>
          </w:p>
        </w:tc>
        <w:tc>
          <w:tcPr>
            <w:tcW w:w="1160" w:type="dxa"/>
            <w:vAlign w:val="bottom"/>
          </w:tcPr>
          <w:p>
            <w:pPr>
              <w:jc w:val="right"/>
              <w:ind w:right="201"/>
              <w:spacing w:after="0"/>
              <w:rPr>
                <w:sz w:val="20"/>
                <w:szCs w:val="20"/>
                <w:color w:val="auto"/>
              </w:rPr>
            </w:pPr>
            <w:r>
              <w:rPr>
                <w:rFonts w:ascii="Arial" w:cs="Arial" w:eastAsia="Arial" w:hAnsi="Arial"/>
                <w:sz w:val="20"/>
                <w:szCs w:val="20"/>
                <w:color w:val="auto"/>
              </w:rPr>
              <w:t>$536.5</w:t>
            </w:r>
          </w:p>
        </w:tc>
        <w:tc>
          <w:tcPr>
            <w:tcW w:w="1180" w:type="dxa"/>
            <w:vAlign w:val="bottom"/>
          </w:tcPr>
          <w:p>
            <w:pPr>
              <w:jc w:val="center"/>
              <w:spacing w:after="0"/>
              <w:rPr>
                <w:sz w:val="20"/>
                <w:szCs w:val="20"/>
                <w:color w:val="auto"/>
              </w:rPr>
            </w:pPr>
            <w:r>
              <w:rPr>
                <w:rFonts w:ascii="Arial" w:cs="Arial" w:eastAsia="Arial" w:hAnsi="Arial"/>
                <w:sz w:val="20"/>
                <w:szCs w:val="20"/>
                <w:color w:val="auto"/>
                <w:w w:val="96"/>
              </w:rPr>
              <w:t>7%</w:t>
            </w:r>
          </w:p>
        </w:tc>
      </w:tr>
      <w:tr>
        <w:trPr>
          <w:trHeight w:val="324"/>
        </w:trPr>
        <w:tc>
          <w:tcPr>
            <w:tcW w:w="3580" w:type="dxa"/>
            <w:vAlign w:val="bottom"/>
          </w:tcPr>
          <w:p>
            <w:pPr>
              <w:ind w:left="100"/>
              <w:spacing w:after="0"/>
              <w:rPr>
                <w:sz w:val="20"/>
                <w:szCs w:val="20"/>
                <w:color w:val="auto"/>
              </w:rPr>
            </w:pPr>
            <w:r>
              <w:rPr>
                <w:rFonts w:ascii="Arial" w:cs="Arial" w:eastAsia="Arial" w:hAnsi="Arial"/>
                <w:sz w:val="20"/>
                <w:szCs w:val="20"/>
                <w:color w:val="auto"/>
              </w:rPr>
              <w:t>Premium and fees</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rPr>
              <w:t>$895.4</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$845.2</w:t>
            </w:r>
          </w:p>
        </w:tc>
        <w:tc>
          <w:tcPr>
            <w:tcW w:w="1160" w:type="dxa"/>
            <w:vAlign w:val="bottom"/>
          </w:tcPr>
          <w:p>
            <w:pPr>
              <w:jc w:val="right"/>
              <w:ind w:right="321"/>
              <w:spacing w:after="0"/>
              <w:rPr>
                <w:sz w:val="20"/>
                <w:szCs w:val="20"/>
                <w:color w:val="auto"/>
              </w:rPr>
            </w:pPr>
            <w:r>
              <w:rPr>
                <w:rFonts w:ascii="Arial" w:cs="Arial" w:eastAsia="Arial" w:hAnsi="Arial"/>
                <w:sz w:val="20"/>
                <w:szCs w:val="20"/>
                <w:color w:val="auto"/>
              </w:rPr>
              <w:t>6%</w:t>
            </w: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$3,475.9</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$3,340.5</w:t>
            </w:r>
          </w:p>
        </w:tc>
        <w:tc>
          <w:tcPr>
            <w:tcW w:w="1180" w:type="dxa"/>
            <w:vAlign w:val="bottom"/>
          </w:tcPr>
          <w:p>
            <w:pPr>
              <w:jc w:val="center"/>
              <w:spacing w:after="0"/>
              <w:rPr>
                <w:sz w:val="20"/>
                <w:szCs w:val="20"/>
                <w:color w:val="auto"/>
              </w:rPr>
            </w:pPr>
            <w:r>
              <w:rPr>
                <w:rFonts w:ascii="Arial" w:cs="Arial" w:eastAsia="Arial" w:hAnsi="Arial"/>
                <w:sz w:val="20"/>
                <w:szCs w:val="20"/>
                <w:color w:val="auto"/>
                <w:w w:val="96"/>
              </w:rPr>
              <w:t>4%</w:t>
            </w:r>
          </w:p>
        </w:tc>
      </w:tr>
      <w:tr>
        <w:trPr>
          <w:trHeight w:val="337"/>
        </w:trPr>
        <w:tc>
          <w:tcPr>
            <w:tcW w:w="3580" w:type="dxa"/>
            <w:vAlign w:val="bottom"/>
          </w:tcPr>
          <w:p>
            <w:pPr>
              <w:ind w:left="100"/>
              <w:spacing w:after="0"/>
              <w:rPr>
                <w:sz w:val="20"/>
                <w:szCs w:val="20"/>
                <w:color w:val="auto"/>
              </w:rPr>
            </w:pPr>
            <w:r>
              <w:rPr>
                <w:rFonts w:ascii="Arial" w:cs="Arial" w:eastAsia="Arial" w:hAnsi="Arial"/>
                <w:sz w:val="20"/>
                <w:szCs w:val="20"/>
                <w:color w:val="auto"/>
              </w:rPr>
              <w:t>Operating margin</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rPr>
              <w:t>15.3%</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18.4%</w:t>
            </w:r>
          </w:p>
        </w:tc>
        <w:tc>
          <w:tcPr>
            <w:tcW w:w="1160" w:type="dxa"/>
            <w:vAlign w:val="bottom"/>
          </w:tcPr>
          <w:p>
            <w:pPr>
              <w:spacing w:after="0"/>
              <w:rPr>
                <w:sz w:val="24"/>
                <w:szCs w:val="24"/>
                <w:color w:val="auto"/>
              </w:rPr>
            </w:pPr>
          </w:p>
        </w:tc>
        <w:tc>
          <w:tcPr>
            <w:tcW w:w="1180" w:type="dxa"/>
            <w:vAlign w:val="bottom"/>
          </w:tcPr>
          <w:p>
            <w:pPr>
              <w:ind w:left="380"/>
              <w:spacing w:after="0"/>
              <w:rPr>
                <w:sz w:val="20"/>
                <w:szCs w:val="20"/>
                <w:color w:val="auto"/>
              </w:rPr>
            </w:pPr>
            <w:r>
              <w:rPr>
                <w:rFonts w:ascii="Arial" w:cs="Arial" w:eastAsia="Arial" w:hAnsi="Arial"/>
                <w:sz w:val="20"/>
                <w:szCs w:val="20"/>
                <w:color w:val="auto"/>
              </w:rPr>
              <w:t>16.5%</w:t>
            </w:r>
          </w:p>
        </w:tc>
        <w:tc>
          <w:tcPr>
            <w:tcW w:w="1160" w:type="dxa"/>
            <w:vAlign w:val="bottom"/>
          </w:tcPr>
          <w:p>
            <w:pPr>
              <w:ind w:left="320"/>
              <w:spacing w:after="0"/>
              <w:rPr>
                <w:sz w:val="20"/>
                <w:szCs w:val="20"/>
                <w:color w:val="auto"/>
              </w:rPr>
            </w:pPr>
            <w:r>
              <w:rPr>
                <w:rFonts w:ascii="Arial" w:cs="Arial" w:eastAsia="Arial" w:hAnsi="Arial"/>
                <w:sz w:val="20"/>
                <w:szCs w:val="20"/>
                <w:color w:val="auto"/>
              </w:rPr>
              <w:t>16.1%</w:t>
            </w:r>
          </w:p>
        </w:tc>
        <w:tc>
          <w:tcPr>
            <w:tcW w:w="1180" w:type="dxa"/>
            <w:vAlign w:val="bottom"/>
          </w:tcPr>
          <w:p>
            <w:pPr>
              <w:spacing w:after="0"/>
              <w:rPr>
                <w:sz w:val="24"/>
                <w:szCs w:val="24"/>
                <w:color w:val="auto"/>
              </w:rPr>
            </w:pPr>
          </w:p>
        </w:tc>
      </w:tr>
      <w:tr>
        <w:trPr>
          <w:trHeight w:val="351"/>
        </w:trPr>
        <w:tc>
          <w:tcPr>
            <w:tcW w:w="3580" w:type="dxa"/>
            <w:vAlign w:val="bottom"/>
          </w:tcPr>
          <w:p>
            <w:pPr>
              <w:ind w:left="100"/>
              <w:spacing w:after="0"/>
              <w:rPr>
                <w:sz w:val="20"/>
                <w:szCs w:val="20"/>
                <w:color w:val="auto"/>
              </w:rPr>
            </w:pPr>
            <w:r>
              <w:rPr>
                <w:rFonts w:ascii="Arial" w:cs="Arial" w:eastAsia="Arial" w:hAnsi="Arial"/>
                <w:sz w:val="20"/>
                <w:szCs w:val="20"/>
                <w:color w:val="auto"/>
              </w:rPr>
              <w:t>Incurred loss ratio</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rPr>
              <w:t>59.0%</w:t>
            </w: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56.4%</w:t>
            </w:r>
          </w:p>
        </w:tc>
        <w:tc>
          <w:tcPr>
            <w:tcW w:w="1160" w:type="dxa"/>
            <w:vAlign w:val="bottom"/>
          </w:tcPr>
          <w:p>
            <w:pPr>
              <w:spacing w:after="0"/>
              <w:rPr>
                <w:sz w:val="24"/>
                <w:szCs w:val="24"/>
                <w:color w:val="auto"/>
              </w:rPr>
            </w:pPr>
          </w:p>
        </w:tc>
        <w:tc>
          <w:tcPr>
            <w:tcW w:w="1180" w:type="dxa"/>
            <w:vAlign w:val="bottom"/>
          </w:tcPr>
          <w:p>
            <w:pPr>
              <w:ind w:left="380"/>
              <w:spacing w:after="0"/>
              <w:rPr>
                <w:sz w:val="20"/>
                <w:szCs w:val="20"/>
                <w:color w:val="auto"/>
              </w:rPr>
            </w:pPr>
            <w:r>
              <w:rPr>
                <w:rFonts w:ascii="Arial" w:cs="Arial" w:eastAsia="Arial" w:hAnsi="Arial"/>
                <w:sz w:val="20"/>
                <w:szCs w:val="20"/>
                <w:color w:val="auto"/>
              </w:rPr>
              <w:t>58.1%</w:t>
            </w:r>
          </w:p>
        </w:tc>
        <w:tc>
          <w:tcPr>
            <w:tcW w:w="1160" w:type="dxa"/>
            <w:vAlign w:val="bottom"/>
          </w:tcPr>
          <w:p>
            <w:pPr>
              <w:ind w:left="320"/>
              <w:spacing w:after="0"/>
              <w:rPr>
                <w:sz w:val="20"/>
                <w:szCs w:val="20"/>
                <w:color w:val="auto"/>
              </w:rPr>
            </w:pPr>
            <w:r>
              <w:rPr>
                <w:rFonts w:ascii="Arial" w:cs="Arial" w:eastAsia="Arial" w:hAnsi="Arial"/>
                <w:sz w:val="20"/>
                <w:szCs w:val="20"/>
                <w:color w:val="auto"/>
              </w:rPr>
              <w:t>58.5%</w:t>
            </w:r>
          </w:p>
        </w:tc>
        <w:tc>
          <w:tcPr>
            <w:tcW w:w="1180" w:type="dxa"/>
            <w:vAlign w:val="bottom"/>
          </w:tcPr>
          <w:p>
            <w:pPr>
              <w:spacing w:after="0"/>
              <w:rPr>
                <w:sz w:val="24"/>
                <w:szCs w:val="24"/>
                <w:color w:val="auto"/>
              </w:rPr>
            </w:pPr>
          </w:p>
        </w:tc>
      </w:tr>
    </w:tbl>
    <w:p>
      <w:pPr>
        <w:spacing w:after="0" w:line="317" w:lineRule="exact"/>
        <w:rPr>
          <w:sz w:val="20"/>
          <w:szCs w:val="20"/>
          <w:color w:val="auto"/>
        </w:rPr>
      </w:pPr>
    </w:p>
    <w:p>
      <w:pPr>
        <w:ind w:left="660" w:right="580" w:hanging="328"/>
        <w:spacing w:after="0" w:line="259" w:lineRule="auto"/>
        <w:tabs>
          <w:tab w:leader="none" w:pos="6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Pre-tax operating earnings </w:t>
      </w:r>
      <w:r>
        <w:rPr>
          <w:rFonts w:ascii="Arial" w:cs="Arial" w:eastAsia="Arial" w:hAnsi="Arial"/>
          <w:sz w:val="20"/>
          <w:szCs w:val="20"/>
          <w:color w:val="auto"/>
        </w:rPr>
        <w:t>decreased $18.2 million driven primarily by impacts of the 3Q25 actuarial assumption</w:t>
      </w:r>
      <w:r>
        <w:rPr>
          <w:rFonts w:ascii="Arial" w:cs="Arial" w:eastAsia="Arial" w:hAnsi="Arial"/>
          <w:sz w:val="20"/>
          <w:szCs w:val="20"/>
          <w:b w:val="1"/>
          <w:bCs w:val="1"/>
          <w:color w:val="auto"/>
        </w:rPr>
        <w:t xml:space="preserve"> </w:t>
      </w:r>
      <w:r>
        <w:rPr>
          <w:rFonts w:ascii="Arial" w:cs="Arial" w:eastAsia="Arial" w:hAnsi="Arial"/>
          <w:sz w:val="20"/>
          <w:szCs w:val="20"/>
          <w:color w:val="auto"/>
        </w:rPr>
        <w:t>review.</w:t>
      </w:r>
    </w:p>
    <w:p>
      <w:pPr>
        <w:spacing w:after="0" w:line="178" w:lineRule="exact"/>
        <w:rPr>
          <w:rFonts w:ascii="Arial" w:cs="Arial" w:eastAsia="Arial" w:hAnsi="Arial"/>
          <w:sz w:val="20"/>
          <w:szCs w:val="20"/>
          <w:b w:val="1"/>
          <w:bCs w:val="1"/>
          <w:color w:val="auto"/>
        </w:rPr>
      </w:pPr>
    </w:p>
    <w:p>
      <w:pPr>
        <w:ind w:left="660" w:right="80" w:hanging="328"/>
        <w:spacing w:after="0" w:line="259" w:lineRule="auto"/>
        <w:tabs>
          <w:tab w:leader="none" w:pos="6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Premium and fees </w:t>
      </w:r>
      <w:r>
        <w:rPr>
          <w:rFonts w:ascii="Arial" w:cs="Arial" w:eastAsia="Arial" w:hAnsi="Arial"/>
          <w:sz w:val="20"/>
          <w:szCs w:val="20"/>
          <w:color w:val="auto"/>
        </w:rPr>
        <w:t>increased $50.2 million driven primarily from growth in the business, with a modest contribution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9/1 Beam Benefits acquisition.</w:t>
      </w:r>
    </w:p>
    <w:p>
      <w:pPr>
        <w:spacing w:after="0" w:line="178" w:lineRule="exact"/>
        <w:rPr>
          <w:rFonts w:ascii="Arial" w:cs="Arial" w:eastAsia="Arial" w:hAnsi="Arial"/>
          <w:sz w:val="20"/>
          <w:szCs w:val="20"/>
          <w:b w:val="1"/>
          <w:bCs w:val="1"/>
          <w:color w:val="auto"/>
        </w:rPr>
      </w:pPr>
    </w:p>
    <w:p>
      <w:pPr>
        <w:ind w:left="660" w:hanging="328"/>
        <w:spacing w:after="0"/>
        <w:tabs>
          <w:tab w:leader="none" w:pos="6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Incurred loss ratio </w:t>
      </w:r>
      <w:r>
        <w:rPr>
          <w:rFonts w:ascii="Arial" w:cs="Arial" w:eastAsia="Arial" w:hAnsi="Arial"/>
          <w:sz w:val="20"/>
          <w:szCs w:val="20"/>
          <w:color w:val="auto"/>
        </w:rPr>
        <w:t>remains below targeted range of 60%-64%, with improved results in dental and group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Operating margin for International Pension = pre-tax operating earnings divided by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Benefits and Protection - Life Insurance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shd w:val="clear" w:color="auto" w:fill="004C97"/>
          </w:tcPr>
          <w:p>
            <w:pPr>
              <w:spacing w:after="0"/>
              <w:rPr>
                <w:sz w:val="24"/>
                <w:szCs w:val="24"/>
                <w:color w:val="auto"/>
              </w:rPr>
            </w:pPr>
          </w:p>
        </w:tc>
        <w:tc>
          <w:tcPr>
            <w:tcW w:w="4180" w:type="dxa"/>
            <w:vAlign w:val="bottom"/>
            <w:gridSpan w:val="3"/>
            <w:shd w:val="clear" w:color="auto" w:fill="004C97"/>
          </w:tcPr>
          <w:p>
            <w:pPr>
              <w:ind w:left="1600"/>
              <w:spacing w:after="0"/>
              <w:rPr>
                <w:sz w:val="20"/>
                <w:szCs w:val="20"/>
                <w:color w:val="auto"/>
              </w:rPr>
            </w:pPr>
            <w:r>
              <w:rPr>
                <w:rFonts w:ascii="Arial" w:cs="Arial" w:eastAsia="Arial" w:hAnsi="Arial"/>
                <w:sz w:val="20"/>
                <w:szCs w:val="20"/>
                <w:color w:val="FFFFFF"/>
              </w:rPr>
              <w:t>Three Months Ended,</w:t>
            </w:r>
          </w:p>
        </w:tc>
        <w:tc>
          <w:tcPr>
            <w:tcW w:w="3480" w:type="dxa"/>
            <w:vAlign w:val="bottom"/>
            <w:gridSpan w:val="3"/>
            <w:shd w:val="clear" w:color="auto" w:fill="004C97"/>
          </w:tcPr>
          <w:p>
            <w:pPr>
              <w:jc w:val="center"/>
              <w:spacing w:after="0"/>
              <w:rPr>
                <w:sz w:val="20"/>
                <w:szCs w:val="20"/>
                <w:color w:val="auto"/>
              </w:rPr>
            </w:pPr>
            <w:r>
              <w:rPr>
                <w:rFonts w:ascii="Arial" w:cs="Arial" w:eastAsia="Arial" w:hAnsi="Arial"/>
                <w:sz w:val="20"/>
                <w:szCs w:val="20"/>
                <w:color w:val="FFFFFF"/>
                <w:w w:val="98"/>
              </w:rPr>
              <w:t>Trailing Twelve Months,</w:t>
            </w:r>
          </w:p>
        </w:tc>
      </w:tr>
      <w:tr>
        <w:trPr>
          <w:trHeight w:val="333"/>
        </w:trPr>
        <w:tc>
          <w:tcPr>
            <w:tcW w:w="3580" w:type="dxa"/>
            <w:vAlign w:val="bottom"/>
            <w:tcBorders>
              <w:bottom w:val="single" w:sz="8" w:color="004C97"/>
            </w:tcBorders>
            <w:shd w:val="clear" w:color="auto" w:fill="004C97"/>
          </w:tcPr>
          <w:p>
            <w:pPr>
              <w:spacing w:after="0"/>
              <w:rPr>
                <w:sz w:val="24"/>
                <w:szCs w:val="24"/>
                <w:color w:val="auto"/>
              </w:rPr>
            </w:pPr>
          </w:p>
        </w:tc>
        <w:tc>
          <w:tcPr>
            <w:tcW w:w="1940" w:type="dxa"/>
            <w:vAlign w:val="bottom"/>
            <w:tcBorders>
              <w:bottom w:val="single" w:sz="8" w:color="004C97"/>
            </w:tcBorders>
            <w:shd w:val="clear" w:color="auto" w:fill="004C97"/>
          </w:tcPr>
          <w:p>
            <w:pPr>
              <w:jc w:val="center"/>
              <w:ind w:left="821"/>
              <w:spacing w:after="0"/>
              <w:rPr>
                <w:sz w:val="20"/>
                <w:szCs w:val="20"/>
                <w:color w:val="auto"/>
              </w:rPr>
            </w:pPr>
            <w:r>
              <w:rPr>
                <w:rFonts w:ascii="Arial" w:cs="Arial" w:eastAsia="Arial" w:hAnsi="Arial"/>
                <w:sz w:val="20"/>
                <w:szCs w:val="20"/>
                <w:color w:val="FFFFFF"/>
              </w:rPr>
              <w:t>3Q26</w:t>
            </w:r>
          </w:p>
        </w:tc>
        <w:tc>
          <w:tcPr>
            <w:tcW w:w="108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8"/>
              </w:rPr>
              <w:t>3Q25</w:t>
            </w:r>
          </w:p>
        </w:tc>
        <w:tc>
          <w:tcPr>
            <w:tcW w:w="1160" w:type="dxa"/>
            <w:vAlign w:val="bottom"/>
            <w:tcBorders>
              <w:bottom w:val="single" w:sz="8" w:color="004C97"/>
            </w:tcBorders>
            <w:shd w:val="clear" w:color="auto" w:fill="004C97"/>
          </w:tcPr>
          <w:p>
            <w:pPr>
              <w:ind w:left="200"/>
              <w:spacing w:after="0"/>
              <w:rPr>
                <w:sz w:val="20"/>
                <w:szCs w:val="20"/>
                <w:color w:val="auto"/>
              </w:rPr>
            </w:pPr>
            <w:r>
              <w:rPr>
                <w:rFonts w:ascii="Arial" w:cs="Arial" w:eastAsia="Arial" w:hAnsi="Arial"/>
                <w:sz w:val="20"/>
                <w:szCs w:val="20"/>
                <w:color w:val="FFFFFF"/>
              </w:rPr>
              <w:t>Change</w:t>
            </w:r>
          </w:p>
        </w:tc>
        <w:tc>
          <w:tcPr>
            <w:tcW w:w="11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3Q26</w:t>
            </w:r>
          </w:p>
        </w:tc>
        <w:tc>
          <w:tcPr>
            <w:tcW w:w="11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3Q25</w:t>
            </w:r>
          </w:p>
        </w:tc>
        <w:tc>
          <w:tcPr>
            <w:tcW w:w="1200" w:type="dxa"/>
            <w:vAlign w:val="bottom"/>
            <w:tcBorders>
              <w:bottom w:val="single" w:sz="8" w:color="004C97"/>
            </w:tcBorders>
            <w:shd w:val="clear" w:color="auto" w:fill="004C97"/>
          </w:tcPr>
          <w:p>
            <w:pPr>
              <w:ind w:left="240"/>
              <w:spacing w:after="0"/>
              <w:rPr>
                <w:sz w:val="20"/>
                <w:szCs w:val="20"/>
                <w:color w:val="auto"/>
              </w:rPr>
            </w:pPr>
            <w:r>
              <w:rPr>
                <w:rFonts w:ascii="Arial" w:cs="Arial" w:eastAsia="Arial" w:hAnsi="Arial"/>
                <w:sz w:val="20"/>
                <w:szCs w:val="20"/>
                <w:color w:val="FFFFFF"/>
              </w:rPr>
              <w:t>Change</w:t>
            </w:r>
          </w:p>
        </w:tc>
      </w:tr>
      <w:tr>
        <w:trPr>
          <w:trHeight w:val="293"/>
        </w:trPr>
        <w:tc>
          <w:tcPr>
            <w:tcW w:w="3580" w:type="dxa"/>
            <w:vAlign w:val="bottom"/>
          </w:tcPr>
          <w:p>
            <w:pPr>
              <w:ind w:left="100"/>
              <w:spacing w:after="0"/>
              <w:rPr>
                <w:sz w:val="20"/>
                <w:szCs w:val="20"/>
                <w:color w:val="auto"/>
              </w:rPr>
            </w:pPr>
            <w:r>
              <w:rPr>
                <w:rFonts w:ascii="Arial" w:cs="Arial" w:eastAsia="Arial" w:hAnsi="Arial"/>
                <w:sz w:val="20"/>
                <w:szCs w:val="20"/>
                <w:color w:val="auto"/>
              </w:rPr>
              <w:t>Pre-tax operating earnings</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w w:val="99"/>
              </w:rPr>
              <w:t>$32.4</w:t>
            </w:r>
          </w:p>
        </w:tc>
        <w:tc>
          <w:tcPr>
            <w:tcW w:w="1080" w:type="dxa"/>
            <w:vAlign w:val="bottom"/>
          </w:tcPr>
          <w:p>
            <w:pPr>
              <w:jc w:val="center"/>
              <w:spacing w:after="0"/>
              <w:rPr>
                <w:sz w:val="20"/>
                <w:szCs w:val="20"/>
                <w:color w:val="auto"/>
              </w:rPr>
            </w:pPr>
            <w:r>
              <w:rPr>
                <w:rFonts w:ascii="Arial" w:cs="Arial" w:eastAsia="Arial" w:hAnsi="Arial"/>
                <w:sz w:val="20"/>
                <w:szCs w:val="20"/>
                <w:color w:val="auto"/>
              </w:rPr>
              <w:t>$(69.0)</w:t>
            </w:r>
          </w:p>
        </w:tc>
        <w:tc>
          <w:tcPr>
            <w:tcW w:w="1160" w:type="dxa"/>
            <w:vAlign w:val="bottom"/>
          </w:tcPr>
          <w:p>
            <w:pPr>
              <w:jc w:val="right"/>
              <w:ind w:right="261"/>
              <w:spacing w:after="0"/>
              <w:rPr>
                <w:sz w:val="20"/>
                <w:szCs w:val="20"/>
                <w:color w:val="auto"/>
              </w:rPr>
            </w:pPr>
            <w:r>
              <w:rPr>
                <w:rFonts w:ascii="Arial" w:cs="Arial" w:eastAsia="Arial" w:hAnsi="Arial"/>
                <w:sz w:val="20"/>
                <w:szCs w:val="20"/>
                <w:color w:val="auto"/>
              </w:rPr>
              <w:t>147%</w:t>
            </w:r>
          </w:p>
        </w:tc>
        <w:tc>
          <w:tcPr>
            <w:tcW w:w="1140" w:type="dxa"/>
            <w:vAlign w:val="bottom"/>
          </w:tcPr>
          <w:p>
            <w:pPr>
              <w:jc w:val="center"/>
              <w:spacing w:after="0"/>
              <w:rPr>
                <w:sz w:val="20"/>
                <w:szCs w:val="20"/>
                <w:color w:val="auto"/>
              </w:rPr>
            </w:pPr>
            <w:r>
              <w:rPr>
                <w:rFonts w:ascii="Arial" w:cs="Arial" w:eastAsia="Arial" w:hAnsi="Arial"/>
                <w:sz w:val="20"/>
                <w:szCs w:val="20"/>
                <w:color w:val="auto"/>
                <w:w w:val="94"/>
              </w:rPr>
              <w:t>$118.3</w:t>
            </w:r>
          </w:p>
        </w:tc>
        <w:tc>
          <w:tcPr>
            <w:tcW w:w="1140" w:type="dxa"/>
            <w:vAlign w:val="bottom"/>
          </w:tcPr>
          <w:p>
            <w:pPr>
              <w:jc w:val="center"/>
              <w:spacing w:after="0"/>
              <w:rPr>
                <w:sz w:val="20"/>
                <w:szCs w:val="20"/>
                <w:color w:val="auto"/>
              </w:rPr>
            </w:pPr>
            <w:r>
              <w:rPr>
                <w:rFonts w:ascii="Arial" w:cs="Arial" w:eastAsia="Arial" w:hAnsi="Arial"/>
                <w:sz w:val="20"/>
                <w:szCs w:val="20"/>
                <w:color w:val="auto"/>
                <w:w w:val="97"/>
              </w:rPr>
              <w:t>$(28.2)</w:t>
            </w:r>
          </w:p>
        </w:tc>
        <w:tc>
          <w:tcPr>
            <w:tcW w:w="1200" w:type="dxa"/>
            <w:vAlign w:val="bottom"/>
          </w:tcPr>
          <w:p>
            <w:pPr>
              <w:jc w:val="right"/>
              <w:ind w:right="261"/>
              <w:spacing w:after="0"/>
              <w:rPr>
                <w:sz w:val="20"/>
                <w:szCs w:val="20"/>
                <w:color w:val="auto"/>
              </w:rPr>
            </w:pPr>
            <w:r>
              <w:rPr>
                <w:rFonts w:ascii="Arial" w:cs="Arial" w:eastAsia="Arial" w:hAnsi="Arial"/>
                <w:sz w:val="20"/>
                <w:szCs w:val="20"/>
                <w:color w:val="auto"/>
              </w:rPr>
              <w:t>520%</w:t>
            </w:r>
          </w:p>
        </w:tc>
      </w:tr>
      <w:tr>
        <w:trPr>
          <w:trHeight w:val="324"/>
        </w:trPr>
        <w:tc>
          <w:tcPr>
            <w:tcW w:w="3580" w:type="dxa"/>
            <w:vAlign w:val="bottom"/>
          </w:tcPr>
          <w:p>
            <w:pPr>
              <w:ind w:left="100"/>
              <w:spacing w:after="0"/>
              <w:rPr>
                <w:sz w:val="20"/>
                <w:szCs w:val="20"/>
                <w:color w:val="auto"/>
              </w:rPr>
            </w:pPr>
            <w:r>
              <w:rPr>
                <w:rFonts w:ascii="Arial" w:cs="Arial" w:eastAsia="Arial" w:hAnsi="Arial"/>
                <w:sz w:val="20"/>
                <w:szCs w:val="20"/>
                <w:color w:val="auto"/>
              </w:rPr>
              <w:t>Premium and fees</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rPr>
              <w:t>$238.6</w:t>
            </w:r>
          </w:p>
        </w:tc>
        <w:tc>
          <w:tcPr>
            <w:tcW w:w="1080" w:type="dxa"/>
            <w:vAlign w:val="bottom"/>
          </w:tcPr>
          <w:p>
            <w:pPr>
              <w:jc w:val="center"/>
              <w:spacing w:after="0"/>
              <w:rPr>
                <w:sz w:val="20"/>
                <w:szCs w:val="20"/>
                <w:color w:val="auto"/>
              </w:rPr>
            </w:pPr>
            <w:r>
              <w:rPr>
                <w:rFonts w:ascii="Arial" w:cs="Arial" w:eastAsia="Arial" w:hAnsi="Arial"/>
                <w:sz w:val="20"/>
                <w:szCs w:val="20"/>
                <w:color w:val="auto"/>
                <w:w w:val="98"/>
              </w:rPr>
              <w:t>$248.9</w:t>
            </w:r>
          </w:p>
        </w:tc>
        <w:tc>
          <w:tcPr>
            <w:tcW w:w="1160" w:type="dxa"/>
            <w:vAlign w:val="bottom"/>
          </w:tcPr>
          <w:p>
            <w:pPr>
              <w:jc w:val="right"/>
              <w:ind w:right="301"/>
              <w:spacing w:after="0"/>
              <w:rPr>
                <w:sz w:val="20"/>
                <w:szCs w:val="20"/>
                <w:color w:val="auto"/>
              </w:rPr>
            </w:pPr>
            <w:r>
              <w:rPr>
                <w:rFonts w:ascii="Arial" w:cs="Arial" w:eastAsia="Arial" w:hAnsi="Arial"/>
                <w:sz w:val="20"/>
                <w:szCs w:val="20"/>
                <w:color w:val="auto"/>
              </w:rPr>
              <w:t>(4)%</w:t>
            </w:r>
          </w:p>
        </w:tc>
        <w:tc>
          <w:tcPr>
            <w:tcW w:w="1140" w:type="dxa"/>
            <w:vAlign w:val="bottom"/>
          </w:tcPr>
          <w:p>
            <w:pPr>
              <w:jc w:val="center"/>
              <w:spacing w:after="0"/>
              <w:rPr>
                <w:sz w:val="20"/>
                <w:szCs w:val="20"/>
                <w:color w:val="auto"/>
              </w:rPr>
            </w:pPr>
            <w:r>
              <w:rPr>
                <w:rFonts w:ascii="Arial" w:cs="Arial" w:eastAsia="Arial" w:hAnsi="Arial"/>
                <w:sz w:val="20"/>
                <w:szCs w:val="20"/>
                <w:color w:val="auto"/>
              </w:rPr>
              <w:t>$937.5</w:t>
            </w:r>
          </w:p>
        </w:tc>
        <w:tc>
          <w:tcPr>
            <w:tcW w:w="1140" w:type="dxa"/>
            <w:vAlign w:val="bottom"/>
          </w:tcPr>
          <w:p>
            <w:pPr>
              <w:jc w:val="center"/>
              <w:spacing w:after="0"/>
              <w:rPr>
                <w:sz w:val="20"/>
                <w:szCs w:val="20"/>
                <w:color w:val="auto"/>
              </w:rPr>
            </w:pPr>
            <w:r>
              <w:rPr>
                <w:rFonts w:ascii="Arial" w:cs="Arial" w:eastAsia="Arial" w:hAnsi="Arial"/>
                <w:sz w:val="20"/>
                <w:szCs w:val="20"/>
                <w:color w:val="auto"/>
              </w:rPr>
              <w:t>$947.4</w:t>
            </w:r>
          </w:p>
        </w:tc>
        <w:tc>
          <w:tcPr>
            <w:tcW w:w="1200" w:type="dxa"/>
            <w:vAlign w:val="bottom"/>
          </w:tcPr>
          <w:p>
            <w:pPr>
              <w:jc w:val="right"/>
              <w:ind w:right="301"/>
              <w:spacing w:after="0"/>
              <w:rPr>
                <w:sz w:val="20"/>
                <w:szCs w:val="20"/>
                <w:color w:val="auto"/>
              </w:rPr>
            </w:pPr>
            <w:r>
              <w:rPr>
                <w:rFonts w:ascii="Arial" w:cs="Arial" w:eastAsia="Arial" w:hAnsi="Arial"/>
                <w:sz w:val="20"/>
                <w:szCs w:val="20"/>
                <w:color w:val="auto"/>
              </w:rPr>
              <w:t>(1)%</w:t>
            </w:r>
          </w:p>
        </w:tc>
      </w:tr>
      <w:tr>
        <w:trPr>
          <w:trHeight w:val="338"/>
        </w:trPr>
        <w:tc>
          <w:tcPr>
            <w:tcW w:w="3580" w:type="dxa"/>
            <w:vAlign w:val="bottom"/>
          </w:tcPr>
          <w:p>
            <w:pPr>
              <w:ind w:left="100"/>
              <w:spacing w:after="0"/>
              <w:rPr>
                <w:sz w:val="20"/>
                <w:szCs w:val="20"/>
                <w:color w:val="auto"/>
              </w:rPr>
            </w:pPr>
            <w:r>
              <w:rPr>
                <w:rFonts w:ascii="Arial" w:cs="Arial" w:eastAsia="Arial" w:hAnsi="Arial"/>
                <w:sz w:val="20"/>
                <w:szCs w:val="20"/>
                <w:color w:val="auto"/>
              </w:rPr>
              <w:t>Operating margin</w:t>
            </w:r>
          </w:p>
        </w:tc>
        <w:tc>
          <w:tcPr>
            <w:tcW w:w="1940" w:type="dxa"/>
            <w:vAlign w:val="bottom"/>
          </w:tcPr>
          <w:p>
            <w:pPr>
              <w:jc w:val="center"/>
              <w:ind w:left="821"/>
              <w:spacing w:after="0"/>
              <w:rPr>
                <w:sz w:val="20"/>
                <w:szCs w:val="20"/>
                <w:color w:val="auto"/>
              </w:rPr>
            </w:pPr>
            <w:r>
              <w:rPr>
                <w:rFonts w:ascii="Arial" w:cs="Arial" w:eastAsia="Arial" w:hAnsi="Arial"/>
                <w:sz w:val="20"/>
                <w:szCs w:val="20"/>
                <w:color w:val="auto"/>
              </w:rPr>
              <w:t>13.6%</w:t>
            </w:r>
          </w:p>
        </w:tc>
        <w:tc>
          <w:tcPr>
            <w:tcW w:w="1080" w:type="dxa"/>
            <w:vAlign w:val="bottom"/>
          </w:tcPr>
          <w:p>
            <w:pPr>
              <w:jc w:val="right"/>
              <w:ind w:right="101"/>
              <w:spacing w:after="0"/>
              <w:rPr>
                <w:sz w:val="20"/>
                <w:szCs w:val="20"/>
                <w:color w:val="auto"/>
              </w:rPr>
            </w:pPr>
            <w:r>
              <w:rPr>
                <w:rFonts w:ascii="Arial" w:cs="Arial" w:eastAsia="Arial" w:hAnsi="Arial"/>
                <w:sz w:val="20"/>
                <w:szCs w:val="20"/>
                <w:color w:val="auto"/>
              </w:rPr>
              <w:t>(27.7)%</w:t>
            </w:r>
          </w:p>
        </w:tc>
        <w:tc>
          <w:tcPr>
            <w:tcW w:w="116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12.6%</w:t>
            </w:r>
          </w:p>
        </w:tc>
        <w:tc>
          <w:tcPr>
            <w:tcW w:w="1140" w:type="dxa"/>
            <w:vAlign w:val="bottom"/>
          </w:tcPr>
          <w:p>
            <w:pPr>
              <w:jc w:val="right"/>
              <w:ind w:right="161"/>
              <w:spacing w:after="0"/>
              <w:rPr>
                <w:sz w:val="20"/>
                <w:szCs w:val="20"/>
                <w:color w:val="auto"/>
              </w:rPr>
            </w:pPr>
            <w:r>
              <w:rPr>
                <w:rFonts w:ascii="Arial" w:cs="Arial" w:eastAsia="Arial" w:hAnsi="Arial"/>
                <w:sz w:val="20"/>
                <w:szCs w:val="20"/>
                <w:color w:val="auto"/>
              </w:rPr>
              <w:t>(3.0)%</w:t>
            </w:r>
          </w:p>
        </w:tc>
        <w:tc>
          <w:tcPr>
            <w:tcW w:w="1200" w:type="dxa"/>
            <w:vAlign w:val="bottom"/>
          </w:tcPr>
          <w:p>
            <w:pPr>
              <w:spacing w:after="0"/>
              <w:rPr>
                <w:sz w:val="24"/>
                <w:szCs w:val="24"/>
                <w:color w:val="auto"/>
              </w:rPr>
            </w:pPr>
          </w:p>
        </w:tc>
      </w:tr>
    </w:tbl>
    <w:p>
      <w:pPr>
        <w:spacing w:after="0" w:line="290" w:lineRule="exact"/>
        <w:rPr>
          <w:sz w:val="20"/>
          <w:szCs w:val="20"/>
          <w:color w:val="auto"/>
        </w:rPr>
      </w:pPr>
    </w:p>
    <w:p>
      <w:pPr>
        <w:ind w:left="660" w:right="120" w:hanging="328"/>
        <w:spacing w:after="0" w:line="259" w:lineRule="auto"/>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Pre-tax operating earnings </w:t>
      </w:r>
      <w:r>
        <w:rPr>
          <w:rFonts w:ascii="Arial" w:cs="Arial" w:eastAsia="Arial" w:hAnsi="Arial"/>
          <w:sz w:val="20"/>
          <w:szCs w:val="20"/>
          <w:color w:val="auto"/>
        </w:rPr>
        <w:t>increased $101.4 million primarily due to impacts of the 3Q25 actuarial assumption review,</w:t>
      </w:r>
      <w:r>
        <w:rPr>
          <w:rFonts w:ascii="Arial" w:cs="Arial" w:eastAsia="Arial" w:hAnsi="Arial"/>
          <w:sz w:val="20"/>
          <w:szCs w:val="20"/>
          <w:b w:val="1"/>
          <w:bCs w:val="1"/>
          <w:color w:val="auto"/>
        </w:rPr>
        <w:t xml:space="preserve"> </w:t>
      </w:r>
      <w:r>
        <w:rPr>
          <w:rFonts w:ascii="Arial" w:cs="Arial" w:eastAsia="Arial" w:hAnsi="Arial"/>
          <w:sz w:val="20"/>
          <w:szCs w:val="20"/>
          <w:color w:val="auto"/>
        </w:rPr>
        <w:t>along with improved mortality experience.</w:t>
      </w:r>
    </w:p>
    <w:p>
      <w:pPr>
        <w:spacing w:after="0" w:line="178" w:lineRule="exact"/>
        <w:rPr>
          <w:rFonts w:ascii="Arial" w:cs="Arial" w:eastAsia="Arial" w:hAnsi="Arial"/>
          <w:sz w:val="20"/>
          <w:szCs w:val="20"/>
          <w:b w:val="1"/>
          <w:bCs w:val="1"/>
          <w:color w:val="auto"/>
        </w:rPr>
      </w:pPr>
    </w:p>
    <w:p>
      <w:pPr>
        <w:ind w:left="660" w:right="120" w:hanging="328"/>
        <w:spacing w:after="0" w:line="259" w:lineRule="auto"/>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Premium and fees </w:t>
      </w:r>
      <w:r>
        <w:rPr>
          <w:rFonts w:ascii="Arial" w:cs="Arial" w:eastAsia="Arial" w:hAnsi="Arial"/>
          <w:sz w:val="20"/>
          <w:szCs w:val="20"/>
          <w:color w:val="auto"/>
        </w:rPr>
        <w:t>decreased $10.3 million driven from the movement of a subsidiary supporting enterprise distribution</w:t>
      </w:r>
      <w:r>
        <w:rPr>
          <w:rFonts w:ascii="Arial" w:cs="Arial" w:eastAsia="Arial" w:hAnsi="Arial"/>
          <w:sz w:val="20"/>
          <w:szCs w:val="20"/>
          <w:b w:val="1"/>
          <w:bCs w:val="1"/>
          <w:color w:val="auto"/>
        </w:rPr>
        <w:t xml:space="preserve"> </w:t>
      </w:r>
      <w:r>
        <w:rPr>
          <w:rFonts w:ascii="Arial" w:cs="Arial" w:eastAsia="Arial" w:hAnsi="Arial"/>
          <w:sz w:val="20"/>
          <w:szCs w:val="20"/>
          <w:color w:val="auto"/>
        </w:rPr>
        <w:t>to Corporate.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40" w:type="dxa"/>
            <w:vAlign w:val="bottom"/>
            <w:shd w:val="clear" w:color="auto" w:fill="004C97"/>
          </w:tcPr>
          <w:p>
            <w:pPr>
              <w:spacing w:after="0"/>
              <w:rPr>
                <w:sz w:val="24"/>
                <w:szCs w:val="24"/>
                <w:color w:val="auto"/>
              </w:rPr>
            </w:pPr>
          </w:p>
        </w:tc>
        <w:tc>
          <w:tcPr>
            <w:tcW w:w="4300" w:type="dxa"/>
            <w:vAlign w:val="bottom"/>
            <w:gridSpan w:val="3"/>
            <w:shd w:val="clear" w:color="auto" w:fill="004C97"/>
          </w:tcPr>
          <w:p>
            <w:pPr>
              <w:ind w:left="1700"/>
              <w:spacing w:after="0"/>
              <w:rPr>
                <w:sz w:val="20"/>
                <w:szCs w:val="20"/>
                <w:color w:val="auto"/>
              </w:rPr>
            </w:pPr>
            <w:r>
              <w:rPr>
                <w:rFonts w:ascii="Arial" w:cs="Arial" w:eastAsia="Arial" w:hAnsi="Arial"/>
                <w:sz w:val="20"/>
                <w:szCs w:val="20"/>
                <w:color w:val="FFFFFF"/>
              </w:rPr>
              <w:t>Three Months Ended,</w:t>
            </w:r>
          </w:p>
        </w:tc>
        <w:tc>
          <w:tcPr>
            <w:tcW w:w="3500" w:type="dxa"/>
            <w:vAlign w:val="bottom"/>
            <w:gridSpan w:val="3"/>
            <w:shd w:val="clear" w:color="auto" w:fill="004C97"/>
          </w:tcPr>
          <w:p>
            <w:pPr>
              <w:ind w:left="720"/>
              <w:spacing w:after="0"/>
              <w:rPr>
                <w:sz w:val="20"/>
                <w:szCs w:val="20"/>
                <w:color w:val="auto"/>
              </w:rPr>
            </w:pPr>
            <w:r>
              <w:rPr>
                <w:rFonts w:ascii="Arial" w:cs="Arial" w:eastAsia="Arial" w:hAnsi="Arial"/>
                <w:sz w:val="20"/>
                <w:szCs w:val="20"/>
                <w:color w:val="FFFFFF"/>
              </w:rPr>
              <w:t>Trailing Twelve Months,</w:t>
            </w:r>
          </w:p>
        </w:tc>
      </w:tr>
      <w:tr>
        <w:trPr>
          <w:trHeight w:val="333"/>
        </w:trPr>
        <w:tc>
          <w:tcPr>
            <w:tcW w:w="3440" w:type="dxa"/>
            <w:vAlign w:val="bottom"/>
            <w:tcBorders>
              <w:bottom w:val="single" w:sz="8" w:color="004C97"/>
            </w:tcBorders>
            <w:shd w:val="clear" w:color="auto" w:fill="004C97"/>
          </w:tcPr>
          <w:p>
            <w:pPr>
              <w:spacing w:after="0"/>
              <w:rPr>
                <w:sz w:val="24"/>
                <w:szCs w:val="24"/>
                <w:color w:val="auto"/>
              </w:rPr>
            </w:pPr>
          </w:p>
        </w:tc>
        <w:tc>
          <w:tcPr>
            <w:tcW w:w="2080" w:type="dxa"/>
            <w:vAlign w:val="bottom"/>
            <w:tcBorders>
              <w:bottom w:val="single" w:sz="8" w:color="004C97"/>
            </w:tcBorders>
            <w:shd w:val="clear" w:color="auto" w:fill="004C97"/>
          </w:tcPr>
          <w:p>
            <w:pPr>
              <w:jc w:val="center"/>
              <w:ind w:left="861"/>
              <w:spacing w:after="0"/>
              <w:rPr>
                <w:sz w:val="20"/>
                <w:szCs w:val="20"/>
                <w:color w:val="auto"/>
              </w:rPr>
            </w:pPr>
            <w:r>
              <w:rPr>
                <w:rFonts w:ascii="Arial" w:cs="Arial" w:eastAsia="Arial" w:hAnsi="Arial"/>
                <w:sz w:val="20"/>
                <w:szCs w:val="20"/>
                <w:color w:val="FFFFFF"/>
                <w:w w:val="98"/>
              </w:rPr>
              <w:t>3Q26</w:t>
            </w:r>
          </w:p>
        </w:tc>
        <w:tc>
          <w:tcPr>
            <w:tcW w:w="1060" w:type="dxa"/>
            <w:vAlign w:val="bottom"/>
            <w:tcBorders>
              <w:bottom w:val="single" w:sz="8" w:color="004C97"/>
            </w:tcBorders>
            <w:shd w:val="clear" w:color="auto" w:fill="004C97"/>
          </w:tcPr>
          <w:p>
            <w:pPr>
              <w:jc w:val="right"/>
              <w:ind w:right="201"/>
              <w:spacing w:after="0"/>
              <w:rPr>
                <w:sz w:val="20"/>
                <w:szCs w:val="20"/>
                <w:color w:val="auto"/>
              </w:rPr>
            </w:pPr>
            <w:r>
              <w:rPr>
                <w:rFonts w:ascii="Arial" w:cs="Arial" w:eastAsia="Arial" w:hAnsi="Arial"/>
                <w:sz w:val="20"/>
                <w:szCs w:val="20"/>
                <w:color w:val="FFFFFF"/>
              </w:rPr>
              <w:t>3Q25</w:t>
            </w:r>
          </w:p>
        </w:tc>
        <w:tc>
          <w:tcPr>
            <w:tcW w:w="116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9"/>
              </w:rPr>
              <w:t>Change</w:t>
            </w:r>
          </w:p>
        </w:tc>
        <w:tc>
          <w:tcPr>
            <w:tcW w:w="116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3Q26</w:t>
            </w:r>
          </w:p>
        </w:tc>
        <w:tc>
          <w:tcPr>
            <w:tcW w:w="114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rPr>
              <w:t>3Q25</w:t>
            </w:r>
          </w:p>
        </w:tc>
        <w:tc>
          <w:tcPr>
            <w:tcW w:w="1200" w:type="dxa"/>
            <w:vAlign w:val="bottom"/>
            <w:tcBorders>
              <w:bottom w:val="single" w:sz="8" w:color="004C97"/>
            </w:tcBorders>
            <w:shd w:val="clear" w:color="auto" w:fill="004C97"/>
          </w:tcPr>
          <w:p>
            <w:pPr>
              <w:jc w:val="center"/>
              <w:spacing w:after="0"/>
              <w:rPr>
                <w:sz w:val="20"/>
                <w:szCs w:val="20"/>
                <w:color w:val="auto"/>
              </w:rPr>
            </w:pPr>
            <w:r>
              <w:rPr>
                <w:rFonts w:ascii="Arial" w:cs="Arial" w:eastAsia="Arial" w:hAnsi="Arial"/>
                <w:sz w:val="20"/>
                <w:szCs w:val="20"/>
                <w:color w:val="FFFFFF"/>
                <w:w w:val="99"/>
              </w:rPr>
              <w:t>Change</w:t>
            </w:r>
          </w:p>
        </w:tc>
      </w:tr>
      <w:tr>
        <w:trPr>
          <w:trHeight w:val="294"/>
        </w:trPr>
        <w:tc>
          <w:tcPr>
            <w:tcW w:w="3440" w:type="dxa"/>
            <w:vAlign w:val="bottom"/>
          </w:tcPr>
          <w:p>
            <w:pPr>
              <w:ind w:left="160"/>
              <w:spacing w:after="0"/>
              <w:rPr>
                <w:sz w:val="20"/>
                <w:szCs w:val="20"/>
                <w:color w:val="auto"/>
              </w:rPr>
            </w:pPr>
            <w:r>
              <w:rPr>
                <w:rFonts w:ascii="Arial" w:cs="Arial" w:eastAsia="Arial" w:hAnsi="Arial"/>
                <w:sz w:val="20"/>
                <w:szCs w:val="20"/>
                <w:color w:val="auto"/>
              </w:rPr>
              <w:t>Pre-tax operating losses</w:t>
            </w:r>
          </w:p>
        </w:tc>
        <w:tc>
          <w:tcPr>
            <w:tcW w:w="2080" w:type="dxa"/>
            <w:vAlign w:val="bottom"/>
          </w:tcPr>
          <w:p>
            <w:pPr>
              <w:jc w:val="right"/>
              <w:ind w:right="101"/>
              <w:spacing w:after="0"/>
              <w:rPr>
                <w:sz w:val="20"/>
                <w:szCs w:val="20"/>
                <w:color w:val="auto"/>
              </w:rPr>
            </w:pPr>
            <w:r>
              <w:rPr>
                <w:rFonts w:ascii="Arial" w:cs="Arial" w:eastAsia="Arial" w:hAnsi="Arial"/>
                <w:sz w:val="20"/>
                <w:szCs w:val="20"/>
                <w:color w:val="auto"/>
              </w:rPr>
              <w:t>$(110.5)</w:t>
            </w:r>
          </w:p>
        </w:tc>
        <w:tc>
          <w:tcPr>
            <w:tcW w:w="1060" w:type="dxa"/>
            <w:vAlign w:val="bottom"/>
          </w:tcPr>
          <w:p>
            <w:pPr>
              <w:jc w:val="right"/>
              <w:ind w:right="141"/>
              <w:spacing w:after="0"/>
              <w:rPr>
                <w:sz w:val="20"/>
                <w:szCs w:val="20"/>
                <w:color w:val="auto"/>
              </w:rPr>
            </w:pPr>
            <w:r>
              <w:rPr>
                <w:rFonts w:ascii="Arial" w:cs="Arial" w:eastAsia="Arial" w:hAnsi="Arial"/>
                <w:sz w:val="20"/>
                <w:szCs w:val="20"/>
                <w:color w:val="auto"/>
              </w:rPr>
              <w:t>$(91.6)</w:t>
            </w:r>
          </w:p>
        </w:tc>
        <w:tc>
          <w:tcPr>
            <w:tcW w:w="1160" w:type="dxa"/>
            <w:vAlign w:val="bottom"/>
          </w:tcPr>
          <w:p>
            <w:pPr>
              <w:jc w:val="right"/>
              <w:ind w:right="221"/>
              <w:spacing w:after="0"/>
              <w:rPr>
                <w:sz w:val="20"/>
                <w:szCs w:val="20"/>
                <w:color w:val="auto"/>
              </w:rPr>
            </w:pPr>
            <w:r>
              <w:rPr>
                <w:rFonts w:ascii="Arial" w:cs="Arial" w:eastAsia="Arial" w:hAnsi="Arial"/>
                <w:sz w:val="20"/>
                <w:szCs w:val="20"/>
                <w:color w:val="auto"/>
              </w:rPr>
              <w:t>(21)%</w:t>
            </w:r>
          </w:p>
        </w:tc>
        <w:tc>
          <w:tcPr>
            <w:tcW w:w="1160" w:type="dxa"/>
            <w:vAlign w:val="bottom"/>
          </w:tcPr>
          <w:p>
            <w:pPr>
              <w:jc w:val="right"/>
              <w:ind w:right="101"/>
              <w:spacing w:after="0"/>
              <w:rPr>
                <w:sz w:val="20"/>
                <w:szCs w:val="20"/>
                <w:color w:val="auto"/>
              </w:rPr>
            </w:pPr>
            <w:r>
              <w:rPr>
                <w:rFonts w:ascii="Arial" w:cs="Arial" w:eastAsia="Arial" w:hAnsi="Arial"/>
                <w:sz w:val="20"/>
                <w:szCs w:val="20"/>
                <w:color w:val="auto"/>
              </w:rPr>
              <w:t>$(430.4)</w:t>
            </w:r>
          </w:p>
        </w:tc>
        <w:tc>
          <w:tcPr>
            <w:tcW w:w="1140" w:type="dxa"/>
            <w:vAlign w:val="bottom"/>
          </w:tcPr>
          <w:p>
            <w:pPr>
              <w:jc w:val="right"/>
              <w:ind w:right="121"/>
              <w:spacing w:after="0"/>
              <w:rPr>
                <w:sz w:val="20"/>
                <w:szCs w:val="20"/>
                <w:color w:val="auto"/>
              </w:rPr>
            </w:pPr>
            <w:r>
              <w:rPr>
                <w:rFonts w:ascii="Arial" w:cs="Arial" w:eastAsia="Arial" w:hAnsi="Arial"/>
                <w:sz w:val="20"/>
                <w:szCs w:val="20"/>
                <w:color w:val="auto"/>
              </w:rPr>
              <w:t>$(382.3)</w:t>
            </w:r>
          </w:p>
        </w:tc>
        <w:tc>
          <w:tcPr>
            <w:tcW w:w="1200" w:type="dxa"/>
            <w:vAlign w:val="bottom"/>
          </w:tcPr>
          <w:p>
            <w:pPr>
              <w:jc w:val="right"/>
              <w:ind w:right="261"/>
              <w:spacing w:after="0"/>
              <w:rPr>
                <w:sz w:val="20"/>
                <w:szCs w:val="20"/>
                <w:color w:val="auto"/>
              </w:rPr>
            </w:pPr>
            <w:r>
              <w:rPr>
                <w:rFonts w:ascii="Arial" w:cs="Arial" w:eastAsia="Arial" w:hAnsi="Arial"/>
                <w:sz w:val="20"/>
                <w:szCs w:val="20"/>
                <w:color w:val="auto"/>
              </w:rPr>
              <w:t>(13)%</w:t>
            </w:r>
          </w:p>
        </w:tc>
      </w:tr>
    </w:tbl>
    <w:p>
      <w:pPr>
        <w:spacing w:after="0" w:line="200" w:lineRule="exact"/>
        <w:rPr>
          <w:sz w:val="20"/>
          <w:szCs w:val="20"/>
          <w:color w:val="auto"/>
        </w:rPr>
      </w:pPr>
    </w:p>
    <w:p>
      <w:pPr>
        <w:spacing w:after="0" w:line="3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Pre-tax operating losses </w:t>
      </w:r>
      <w:r>
        <w:rPr>
          <w:rFonts w:ascii="Arial" w:cs="Arial" w:eastAsia="Arial" w:hAnsi="Arial"/>
          <w:sz w:val="20"/>
          <w:szCs w:val="20"/>
          <w:color w:val="auto"/>
        </w:rPr>
        <w:t>increased $18.9 million primarily due to lower variable investment income.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Dividend</w:t>
      </w:r>
    </w:p>
    <w:p>
      <w:pPr>
        <w:spacing w:after="0" w:line="56" w:lineRule="exact"/>
        <w:rPr>
          <w:sz w:val="20"/>
          <w:szCs w:val="20"/>
          <w:color w:val="auto"/>
        </w:rPr>
      </w:pPr>
    </w:p>
    <w:p>
      <w:pPr>
        <w:ind w:left="660" w:right="400" w:hanging="328"/>
        <w:spacing w:after="0" w:line="248" w:lineRule="auto"/>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Announced a fourth quarter cash dividend of $0.85 per share to holders of common shares. This represents a 1-cent increase over third quarter of 2026 and an 8% increase over the prior year quarter.</w:t>
      </w:r>
    </w:p>
    <w:p>
      <w:pPr>
        <w:spacing w:after="0" w:line="1" w:lineRule="exact"/>
        <w:rPr>
          <w:rFonts w:ascii="Arial" w:cs="Arial" w:eastAsia="Arial" w:hAnsi="Arial"/>
          <w:sz w:val="20"/>
          <w:szCs w:val="20"/>
          <w:b w:val="1"/>
          <w:bCs w:val="1"/>
          <w:color w:val="auto"/>
        </w:rPr>
      </w:pPr>
    </w:p>
    <w:p>
      <w:pPr>
        <w:ind w:left="660" w:hanging="328"/>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The fourth quarter dividend will be payable on December 18, 2026, to shareholders of record as of December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004C97"/>
        </w:rPr>
        <w:t>Exhibit 1</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Principal Financial Group</w:t>
      </w:r>
    </w:p>
    <w:p>
      <w:pPr>
        <w:spacing w:after="0" w:line="27" w:lineRule="exact"/>
        <w:rPr>
          <w:sz w:val="20"/>
          <w:szCs w:val="20"/>
          <w:color w:val="auto"/>
        </w:rPr>
      </w:pPr>
    </w:p>
    <w:p>
      <w:pPr>
        <w:ind w:right="640"/>
        <w:spacing w:after="0" w:line="227" w:lineRule="auto"/>
        <w:rPr>
          <w:sz w:val="20"/>
          <w:szCs w:val="20"/>
          <w:color w:val="auto"/>
        </w:rPr>
      </w:pPr>
      <w:r>
        <w:rPr>
          <w:rFonts w:ascii="Arial" w:cs="Arial" w:eastAsia="Arial" w:hAnsi="Arial"/>
          <w:sz w:val="20"/>
          <w:szCs w:val="20"/>
          <w:b w:val="1"/>
          <w:bCs w:val="1"/>
          <w:color w:val="004C97"/>
        </w:rPr>
        <w:t>Impact of Significant Variances</w:t>
      </w:r>
      <w:r>
        <w:rPr>
          <w:rFonts w:ascii="Arial" w:cs="Arial" w:eastAsia="Arial" w:hAnsi="Arial"/>
          <w:sz w:val="32"/>
          <w:szCs w:val="32"/>
          <w:b w:val="1"/>
          <w:bCs w:val="1"/>
          <w:color w:val="004C97"/>
          <w:vertAlign w:val="superscript"/>
        </w:rPr>
        <w:t>10</w:t>
      </w:r>
      <w:r>
        <w:rPr>
          <w:rFonts w:ascii="Arial" w:cs="Arial" w:eastAsia="Arial" w:hAnsi="Arial"/>
          <w:sz w:val="20"/>
          <w:szCs w:val="20"/>
          <w:b w:val="1"/>
          <w:bCs w:val="1"/>
          <w:color w:val="004C97"/>
        </w:rPr>
        <w:t xml:space="preserve"> on Net Income Attributable to PFG; Non-GAAP Net Income Attributable to PFG, Excluding Exited Business; and Non-GAAP Operating Earnings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4C97"/>
        </w:rPr>
        <w:t>In millions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40" w:type="dxa"/>
            <w:vAlign w:val="bottom"/>
            <w:shd w:val="clear" w:color="auto" w:fill="004C97"/>
          </w:tcPr>
          <w:p>
            <w:pPr>
              <w:spacing w:after="0"/>
              <w:rPr>
                <w:sz w:val="23"/>
                <w:szCs w:val="23"/>
                <w:color w:val="auto"/>
              </w:rPr>
            </w:pPr>
          </w:p>
        </w:tc>
        <w:tc>
          <w:tcPr>
            <w:tcW w:w="2440" w:type="dxa"/>
            <w:vAlign w:val="bottom"/>
            <w:gridSpan w:val="3"/>
            <w:shd w:val="clear" w:color="auto" w:fill="004C97"/>
          </w:tcPr>
          <w:p>
            <w:pPr>
              <w:jc w:val="right"/>
              <w:ind w:right="99"/>
              <w:spacing w:after="0"/>
              <w:rPr>
                <w:sz w:val="20"/>
                <w:szCs w:val="20"/>
                <w:color w:val="auto"/>
              </w:rPr>
            </w:pPr>
            <w:r>
              <w:rPr>
                <w:rFonts w:ascii="Arial" w:cs="Arial" w:eastAsia="Arial" w:hAnsi="Arial"/>
                <w:sz w:val="16"/>
                <w:szCs w:val="16"/>
                <w:color w:val="FFFFFF"/>
              </w:rPr>
              <w:t>Three Months Ended,</w:t>
            </w:r>
          </w:p>
        </w:tc>
        <w:tc>
          <w:tcPr>
            <w:tcW w:w="540" w:type="dxa"/>
            <w:vAlign w:val="bottom"/>
            <w:shd w:val="clear" w:color="auto" w:fill="004C97"/>
          </w:tcPr>
          <w:p>
            <w:pPr>
              <w:spacing w:after="0"/>
              <w:rPr>
                <w:sz w:val="23"/>
                <w:szCs w:val="23"/>
                <w:color w:val="auto"/>
              </w:rPr>
            </w:pPr>
          </w:p>
        </w:tc>
        <w:tc>
          <w:tcPr>
            <w:tcW w:w="2920" w:type="dxa"/>
            <w:vAlign w:val="bottom"/>
            <w:gridSpan w:val="4"/>
            <w:shd w:val="clear" w:color="auto" w:fill="004C97"/>
          </w:tcPr>
          <w:p>
            <w:pPr>
              <w:jc w:val="right"/>
              <w:ind w:right="539"/>
              <w:spacing w:after="0"/>
              <w:rPr>
                <w:sz w:val="20"/>
                <w:szCs w:val="20"/>
                <w:color w:val="auto"/>
              </w:rPr>
            </w:pPr>
            <w:r>
              <w:rPr>
                <w:rFonts w:ascii="Arial" w:cs="Arial" w:eastAsia="Arial" w:hAnsi="Arial"/>
                <w:sz w:val="16"/>
                <w:szCs w:val="16"/>
                <w:color w:val="FFFFFF"/>
              </w:rPr>
              <w:t>Trailing Twelve Months,</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004C97"/>
            </w:tcBorders>
            <w:shd w:val="clear" w:color="auto" w:fill="004C97"/>
          </w:tcPr>
          <w:p>
            <w:pPr>
              <w:spacing w:after="0"/>
              <w:rPr>
                <w:sz w:val="20"/>
                <w:szCs w:val="20"/>
                <w:color w:val="auto"/>
              </w:rPr>
            </w:pPr>
          </w:p>
        </w:tc>
        <w:tc>
          <w:tcPr>
            <w:tcW w:w="1020" w:type="dxa"/>
            <w:vAlign w:val="bottom"/>
            <w:tcBorders>
              <w:bottom w:val="single" w:sz="8" w:color="004C97"/>
            </w:tcBorders>
            <w:shd w:val="clear" w:color="auto" w:fill="004C97"/>
          </w:tcPr>
          <w:p>
            <w:pPr>
              <w:jc w:val="right"/>
              <w:spacing w:after="0"/>
              <w:rPr>
                <w:sz w:val="20"/>
                <w:szCs w:val="20"/>
                <w:color w:val="auto"/>
              </w:rPr>
            </w:pPr>
            <w:r>
              <w:rPr>
                <w:rFonts w:ascii="Arial" w:cs="Arial" w:eastAsia="Arial" w:hAnsi="Arial"/>
                <w:sz w:val="16"/>
                <w:szCs w:val="16"/>
                <w:color w:val="FFFFFF"/>
              </w:rPr>
              <w:t>3Q26</w:t>
            </w:r>
          </w:p>
        </w:tc>
        <w:tc>
          <w:tcPr>
            <w:tcW w:w="580" w:type="dxa"/>
            <w:vAlign w:val="bottom"/>
            <w:tcBorders>
              <w:bottom w:val="single" w:sz="8" w:color="004C97"/>
            </w:tcBorders>
            <w:shd w:val="clear" w:color="auto" w:fill="004C97"/>
          </w:tcPr>
          <w:p>
            <w:pPr>
              <w:spacing w:after="0"/>
              <w:rPr>
                <w:sz w:val="20"/>
                <w:szCs w:val="20"/>
                <w:color w:val="auto"/>
              </w:rPr>
            </w:pPr>
          </w:p>
        </w:tc>
        <w:tc>
          <w:tcPr>
            <w:tcW w:w="840" w:type="dxa"/>
            <w:vAlign w:val="bottom"/>
            <w:tcBorders>
              <w:bottom w:val="single" w:sz="8" w:color="004C97"/>
            </w:tcBorders>
            <w:shd w:val="clear" w:color="auto" w:fill="004C97"/>
          </w:tcPr>
          <w:p>
            <w:pPr>
              <w:jc w:val="right"/>
              <w:spacing w:after="0"/>
              <w:rPr>
                <w:sz w:val="20"/>
                <w:szCs w:val="20"/>
                <w:color w:val="auto"/>
              </w:rPr>
            </w:pPr>
            <w:r>
              <w:rPr>
                <w:rFonts w:ascii="Arial" w:cs="Arial" w:eastAsia="Arial" w:hAnsi="Arial"/>
                <w:sz w:val="16"/>
                <w:szCs w:val="16"/>
                <w:color w:val="FFFFFF"/>
              </w:rPr>
              <w:t>3Q25</w:t>
            </w:r>
          </w:p>
        </w:tc>
        <w:tc>
          <w:tcPr>
            <w:tcW w:w="540" w:type="dxa"/>
            <w:vAlign w:val="bottom"/>
            <w:tcBorders>
              <w:bottom w:val="single" w:sz="8" w:color="004C97"/>
            </w:tcBorders>
            <w:shd w:val="clear" w:color="auto" w:fill="004C97"/>
          </w:tcPr>
          <w:p>
            <w:pPr>
              <w:spacing w:after="0"/>
              <w:rPr>
                <w:sz w:val="20"/>
                <w:szCs w:val="20"/>
                <w:color w:val="auto"/>
              </w:rPr>
            </w:pPr>
          </w:p>
        </w:tc>
        <w:tc>
          <w:tcPr>
            <w:tcW w:w="980" w:type="dxa"/>
            <w:vAlign w:val="bottom"/>
            <w:tcBorders>
              <w:bottom w:val="single" w:sz="8" w:color="004C97"/>
            </w:tcBorders>
            <w:shd w:val="clear" w:color="auto" w:fill="004C97"/>
          </w:tcPr>
          <w:p>
            <w:pPr>
              <w:jc w:val="right"/>
              <w:spacing w:after="0"/>
              <w:rPr>
                <w:sz w:val="20"/>
                <w:szCs w:val="20"/>
                <w:color w:val="auto"/>
              </w:rPr>
            </w:pPr>
            <w:r>
              <w:rPr>
                <w:rFonts w:ascii="Arial" w:cs="Arial" w:eastAsia="Arial" w:hAnsi="Arial"/>
                <w:sz w:val="16"/>
                <w:szCs w:val="16"/>
                <w:color w:val="FFFFFF"/>
              </w:rPr>
              <w:t>3Q26</w:t>
            </w:r>
          </w:p>
        </w:tc>
        <w:tc>
          <w:tcPr>
            <w:tcW w:w="620" w:type="dxa"/>
            <w:vAlign w:val="bottom"/>
            <w:tcBorders>
              <w:bottom w:val="single" w:sz="8" w:color="004C97"/>
            </w:tcBorders>
            <w:shd w:val="clear" w:color="auto" w:fill="004C97"/>
          </w:tcPr>
          <w:p>
            <w:pPr>
              <w:spacing w:after="0"/>
              <w:rPr>
                <w:sz w:val="20"/>
                <w:szCs w:val="20"/>
                <w:color w:val="auto"/>
              </w:rPr>
            </w:pPr>
          </w:p>
        </w:tc>
        <w:tc>
          <w:tcPr>
            <w:tcW w:w="340" w:type="dxa"/>
            <w:vAlign w:val="bottom"/>
            <w:tcBorders>
              <w:bottom w:val="single" w:sz="8" w:color="004C97"/>
            </w:tcBorders>
            <w:shd w:val="clear" w:color="auto" w:fill="004C97"/>
          </w:tcPr>
          <w:p>
            <w:pPr>
              <w:spacing w:after="0"/>
              <w:rPr>
                <w:sz w:val="20"/>
                <w:szCs w:val="20"/>
                <w:color w:val="auto"/>
              </w:rPr>
            </w:pPr>
          </w:p>
        </w:tc>
        <w:tc>
          <w:tcPr>
            <w:tcW w:w="980" w:type="dxa"/>
            <w:vAlign w:val="bottom"/>
            <w:tcBorders>
              <w:bottom w:val="single" w:sz="8" w:color="004C97"/>
            </w:tcBorders>
            <w:shd w:val="clear" w:color="auto" w:fill="004C97"/>
          </w:tcPr>
          <w:p>
            <w:pPr>
              <w:jc w:val="right"/>
              <w:ind w:right="419"/>
              <w:spacing w:after="0"/>
              <w:rPr>
                <w:sz w:val="20"/>
                <w:szCs w:val="20"/>
                <w:color w:val="auto"/>
              </w:rPr>
            </w:pPr>
            <w:r>
              <w:rPr>
                <w:rFonts w:ascii="Arial" w:cs="Arial" w:eastAsia="Arial" w:hAnsi="Arial"/>
                <w:sz w:val="16"/>
                <w:szCs w:val="16"/>
                <w:color w:val="FFFFFF"/>
              </w:rPr>
              <w:t>3Q25</w:t>
            </w:r>
          </w:p>
        </w:tc>
        <w:tc>
          <w:tcPr>
            <w:tcW w:w="0" w:type="dxa"/>
            <w:vAlign w:val="bottom"/>
          </w:tcPr>
          <w:p>
            <w:pPr>
              <w:spacing w:after="0"/>
              <w:rPr>
                <w:sz w:val="1"/>
                <w:szCs w:val="1"/>
                <w:color w:val="auto"/>
              </w:rPr>
            </w:pPr>
          </w:p>
        </w:tc>
      </w:tr>
      <w:tr>
        <w:trPr>
          <w:trHeight w:val="215"/>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Net income (loss) attributable to PFG</w:t>
            </w:r>
          </w:p>
        </w:tc>
        <w:tc>
          <w:tcPr>
            <w:tcW w:w="10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(58.8)</w:t>
            </w:r>
          </w:p>
        </w:tc>
        <w:tc>
          <w:tcPr>
            <w:tcW w:w="8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(55.9)</w:t>
            </w:r>
          </w:p>
        </w:tc>
        <w:tc>
          <w:tcPr>
            <w:tcW w:w="9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(73.8)</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(96.4)</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(Income) loss from exited business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3"/>
        </w:trPr>
        <w:tc>
          <w:tcPr>
            <w:tcW w:w="5340" w:type="dxa"/>
            <w:vAlign w:val="bottom"/>
          </w:tcPr>
          <w:p>
            <w:pPr>
              <w:ind w:left="80"/>
              <w:spacing w:after="0" w:line="183" w:lineRule="exact"/>
              <w:rPr>
                <w:sz w:val="20"/>
                <w:szCs w:val="20"/>
                <w:color w:val="auto"/>
              </w:rPr>
            </w:pPr>
            <w:r>
              <w:rPr>
                <w:rFonts w:ascii="Arial" w:cs="Arial" w:eastAsia="Arial" w:hAnsi="Arial"/>
                <w:sz w:val="16"/>
                <w:szCs w:val="16"/>
                <w:b w:val="1"/>
                <w:bCs w:val="1"/>
                <w:color w:val="auto"/>
              </w:rPr>
              <w:t>Non-GAAP net income (loss) attributable to PFG, excluding exited</w:t>
            </w:r>
          </w:p>
        </w:tc>
        <w:tc>
          <w:tcPr>
            <w:tcW w:w="1020" w:type="dxa"/>
            <w:vAlign w:val="bottom"/>
          </w:tcPr>
          <w:p>
            <w:pPr>
              <w:spacing w:after="0"/>
              <w:rPr>
                <w:sz w:val="15"/>
                <w:szCs w:val="15"/>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(58.8)</w:t>
            </w:r>
          </w:p>
        </w:tc>
        <w:tc>
          <w:tcPr>
            <w:tcW w:w="840" w:type="dxa"/>
            <w:vAlign w:val="bottom"/>
          </w:tcPr>
          <w:p>
            <w:pPr>
              <w:spacing w:after="0"/>
              <w:rPr>
                <w:sz w:val="15"/>
                <w:szCs w:val="15"/>
                <w:color w:val="auto"/>
              </w:rPr>
            </w:pPr>
          </w:p>
        </w:tc>
        <w:tc>
          <w:tcPr>
            <w:tcW w:w="540" w:type="dxa"/>
            <w:vAlign w:val="bottom"/>
            <w:vMerge w:val="restart"/>
          </w:tcPr>
          <w:p>
            <w:pPr>
              <w:jc w:val="right"/>
              <w:ind w:right="19"/>
              <w:spacing w:after="0"/>
              <w:rPr>
                <w:sz w:val="20"/>
                <w:szCs w:val="20"/>
                <w:color w:val="auto"/>
              </w:rPr>
            </w:pPr>
            <w:r>
              <w:rPr>
                <w:rFonts w:ascii="Arial" w:cs="Arial" w:eastAsia="Arial" w:hAnsi="Arial"/>
                <w:sz w:val="16"/>
                <w:szCs w:val="16"/>
                <w:color w:val="auto"/>
              </w:rPr>
              <w:t>(49.8)</w:t>
            </w:r>
          </w:p>
        </w:tc>
        <w:tc>
          <w:tcPr>
            <w:tcW w:w="980" w:type="dxa"/>
            <w:vAlign w:val="bottom"/>
          </w:tcPr>
          <w:p>
            <w:pPr>
              <w:spacing w:after="0"/>
              <w:rPr>
                <w:sz w:val="15"/>
                <w:szCs w:val="15"/>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6"/>
                <w:szCs w:val="16"/>
                <w:color w:val="auto"/>
              </w:rPr>
              <w:t>(73.8)</w:t>
            </w: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20"/>
        </w:trPr>
        <w:tc>
          <w:tcPr>
            <w:tcW w:w="53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business</w:t>
            </w:r>
          </w:p>
        </w:tc>
        <w:tc>
          <w:tcPr>
            <w:tcW w:w="10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53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 realized capital (gains) losses, as adjusted</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Non-GAAP operating earnings</w:t>
            </w:r>
          </w:p>
        </w:tc>
        <w:tc>
          <w:tcPr>
            <w:tcW w:w="102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(58.8)</w:t>
            </w:r>
          </w:p>
        </w:tc>
        <w:tc>
          <w:tcPr>
            <w:tcW w:w="84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(49.6)</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(90.1)</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Income taxes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7"/>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Non-GAAP pre-tax operating earnings</w:t>
            </w:r>
          </w:p>
        </w:tc>
        <w:tc>
          <w:tcPr>
            <w:tcW w:w="10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(72.6)</w:t>
            </w:r>
          </w:p>
        </w:tc>
        <w:tc>
          <w:tcPr>
            <w:tcW w:w="8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(60.1)</w:t>
            </w: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(90.0)</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(111.6)</w:t>
            </w:r>
          </w:p>
        </w:tc>
        <w:tc>
          <w:tcPr>
            <w:tcW w:w="0" w:type="dxa"/>
            <w:vAlign w:val="bottom"/>
          </w:tcPr>
          <w:p>
            <w:pPr>
              <w:spacing w:after="0"/>
              <w:rPr>
                <w:sz w:val="1"/>
                <w:szCs w:val="1"/>
                <w:color w:val="auto"/>
              </w:rPr>
            </w:pPr>
          </w:p>
        </w:tc>
      </w:tr>
      <w:tr>
        <w:trPr>
          <w:trHeight w:val="458"/>
        </w:trPr>
        <w:tc>
          <w:tcPr>
            <w:tcW w:w="5340" w:type="dxa"/>
            <w:vAlign w:val="bottom"/>
          </w:tcPr>
          <w:p>
            <w:pPr>
              <w:ind w:left="80"/>
              <w:spacing w:after="0"/>
              <w:rPr>
                <w:sz w:val="20"/>
                <w:szCs w:val="20"/>
                <w:color w:val="auto"/>
              </w:rPr>
            </w:pPr>
            <w:r>
              <w:rPr>
                <w:rFonts w:ascii="Arial" w:cs="Arial" w:eastAsia="Arial" w:hAnsi="Arial"/>
                <w:sz w:val="16"/>
                <w:szCs w:val="16"/>
                <w:b w:val="1"/>
                <w:bCs w:val="1"/>
                <w:color w:val="auto"/>
              </w:rPr>
              <w:t>Per diluted share:</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Net income (loss) attributable to PFG</w:t>
            </w:r>
          </w:p>
        </w:tc>
        <w:tc>
          <w:tcPr>
            <w:tcW w:w="10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(0.27)</w:t>
            </w:r>
          </w:p>
        </w:tc>
        <w:tc>
          <w:tcPr>
            <w:tcW w:w="8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(0.25)</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(Income) loss from exited business</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80"/>
              <w:spacing w:after="0"/>
              <w:rPr>
                <w:sz w:val="20"/>
                <w:szCs w:val="20"/>
                <w:color w:val="auto"/>
              </w:rPr>
            </w:pPr>
            <w:r>
              <w:rPr>
                <w:rFonts w:ascii="Arial" w:cs="Arial" w:eastAsia="Arial" w:hAnsi="Arial"/>
                <w:sz w:val="16"/>
                <w:szCs w:val="16"/>
                <w:b w:val="1"/>
                <w:bCs w:val="1"/>
                <w:color w:val="auto"/>
              </w:rPr>
              <w:t>Non-GAAP net income (loss) attributable to PFG, excluding exited</w:t>
            </w:r>
          </w:p>
        </w:tc>
        <w:tc>
          <w:tcPr>
            <w:tcW w:w="1020" w:type="dxa"/>
            <w:vAlign w:val="bottom"/>
          </w:tcPr>
          <w:p>
            <w:pPr>
              <w:spacing w:after="0"/>
              <w:rPr>
                <w:sz w:val="16"/>
                <w:szCs w:val="16"/>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(0.27)</w:t>
            </w:r>
          </w:p>
        </w:tc>
        <w:tc>
          <w:tcPr>
            <w:tcW w:w="840" w:type="dxa"/>
            <w:vAlign w:val="bottom"/>
          </w:tcPr>
          <w:p>
            <w:pPr>
              <w:spacing w:after="0"/>
              <w:rPr>
                <w:sz w:val="16"/>
                <w:szCs w:val="16"/>
                <w:color w:val="auto"/>
              </w:rPr>
            </w:pPr>
          </w:p>
        </w:tc>
        <w:tc>
          <w:tcPr>
            <w:tcW w:w="540" w:type="dxa"/>
            <w:vAlign w:val="bottom"/>
            <w:vMerge w:val="restart"/>
          </w:tcPr>
          <w:p>
            <w:pPr>
              <w:jc w:val="right"/>
              <w:ind w:right="19"/>
              <w:spacing w:after="0"/>
              <w:rPr>
                <w:sz w:val="20"/>
                <w:szCs w:val="20"/>
                <w:color w:val="auto"/>
              </w:rPr>
            </w:pPr>
            <w:r>
              <w:rPr>
                <w:rFonts w:ascii="Arial" w:cs="Arial" w:eastAsia="Arial" w:hAnsi="Arial"/>
                <w:sz w:val="16"/>
                <w:szCs w:val="16"/>
                <w:color w:val="auto"/>
              </w:rPr>
              <w:t>(0.22)</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53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business</w:t>
            </w:r>
          </w:p>
        </w:tc>
        <w:tc>
          <w:tcPr>
            <w:tcW w:w="10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34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 realized capital (gains) losses, as adjusted</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Non-GAAP operating earnings</w:t>
            </w:r>
          </w:p>
        </w:tc>
        <w:tc>
          <w:tcPr>
            <w:tcW w:w="10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(0.27)</w:t>
            </w:r>
          </w:p>
        </w:tc>
        <w:tc>
          <w:tcPr>
            <w:tcW w:w="8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(0.22)</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80"/>
              <w:spacing w:after="0"/>
              <w:rPr>
                <w:sz w:val="20"/>
                <w:szCs w:val="20"/>
                <w:color w:val="auto"/>
              </w:rPr>
            </w:pPr>
            <w:r>
              <w:rPr>
                <w:rFonts w:ascii="Arial" w:cs="Arial" w:eastAsia="Arial" w:hAnsi="Arial"/>
                <w:sz w:val="16"/>
                <w:szCs w:val="16"/>
                <w:color w:val="auto"/>
              </w:rPr>
              <w:t>Weighted average diluted common shares outstanding</w:t>
            </w:r>
          </w:p>
        </w:tc>
        <w:tc>
          <w:tcPr>
            <w:tcW w:w="10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216.9</w:t>
            </w:r>
          </w:p>
        </w:tc>
        <w:tc>
          <w:tcPr>
            <w:tcW w:w="8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225.2</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Segment pre-tax operating earnings (losses):</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80"/>
              <w:spacing w:after="0"/>
              <w:rPr>
                <w:sz w:val="20"/>
                <w:szCs w:val="20"/>
                <w:color w:val="auto"/>
              </w:rPr>
            </w:pPr>
            <w:r>
              <w:rPr>
                <w:rFonts w:ascii="Arial" w:cs="Arial" w:eastAsia="Arial" w:hAnsi="Arial"/>
                <w:sz w:val="16"/>
                <w:szCs w:val="16"/>
                <w:color w:val="auto"/>
              </w:rPr>
              <w:t>Retirement and Income Solutions</w:t>
            </w:r>
          </w:p>
        </w:tc>
        <w:tc>
          <w:tcPr>
            <w:tcW w:w="10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8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9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459"/>
        </w:trPr>
        <w:tc>
          <w:tcPr>
            <w:tcW w:w="5340" w:type="dxa"/>
            <w:vAlign w:val="bottom"/>
          </w:tcPr>
          <w:p>
            <w:pPr>
              <w:ind w:left="260"/>
              <w:spacing w:after="0"/>
              <w:rPr>
                <w:sz w:val="20"/>
                <w:szCs w:val="20"/>
                <w:color w:val="auto"/>
              </w:rPr>
            </w:pPr>
            <w:r>
              <w:rPr>
                <w:rFonts w:ascii="Arial" w:cs="Arial" w:eastAsia="Arial" w:hAnsi="Arial"/>
                <w:sz w:val="16"/>
                <w:szCs w:val="16"/>
                <w:color w:val="auto"/>
              </w:rPr>
              <w:t>Investment Management</w:t>
            </w:r>
          </w:p>
        </w:tc>
        <w:tc>
          <w:tcPr>
            <w:tcW w:w="102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4"/>
                <w:szCs w:val="24"/>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5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International Pension</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9"/>
        </w:trPr>
        <w:tc>
          <w:tcPr>
            <w:tcW w:w="5340" w:type="dxa"/>
            <w:vAlign w:val="bottom"/>
          </w:tcPr>
          <w:p>
            <w:pPr>
              <w:ind w:left="80"/>
              <w:spacing w:after="0"/>
              <w:rPr>
                <w:sz w:val="20"/>
                <w:szCs w:val="20"/>
                <w:color w:val="auto"/>
              </w:rPr>
            </w:pPr>
            <w:r>
              <w:rPr>
                <w:rFonts w:ascii="Arial" w:cs="Arial" w:eastAsia="Arial" w:hAnsi="Arial"/>
                <w:sz w:val="16"/>
                <w:szCs w:val="16"/>
                <w:color w:val="auto"/>
              </w:rPr>
              <w:t>Principal Asset Management</w:t>
            </w:r>
          </w:p>
        </w:tc>
        <w:tc>
          <w:tcPr>
            <w:tcW w:w="102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84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458"/>
        </w:trPr>
        <w:tc>
          <w:tcPr>
            <w:tcW w:w="5340" w:type="dxa"/>
            <w:vAlign w:val="bottom"/>
          </w:tcPr>
          <w:p>
            <w:pPr>
              <w:ind w:left="260"/>
              <w:spacing w:after="0"/>
              <w:rPr>
                <w:sz w:val="20"/>
                <w:szCs w:val="20"/>
                <w:color w:val="auto"/>
              </w:rPr>
            </w:pPr>
            <w:r>
              <w:rPr>
                <w:rFonts w:ascii="Arial" w:cs="Arial" w:eastAsia="Arial" w:hAnsi="Arial"/>
                <w:sz w:val="16"/>
                <w:szCs w:val="16"/>
                <w:color w:val="auto"/>
              </w:rPr>
              <w:t>Specialty Benefits</w:t>
            </w:r>
          </w:p>
        </w:tc>
        <w:tc>
          <w:tcPr>
            <w:tcW w:w="102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840" w:type="dxa"/>
            <w:vAlign w:val="bottom"/>
          </w:tcPr>
          <w:p>
            <w:pPr>
              <w:spacing w:after="0"/>
              <w:rPr>
                <w:sz w:val="24"/>
                <w:szCs w:val="24"/>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7"/>
        </w:trPr>
        <w:tc>
          <w:tcPr>
            <w:tcW w:w="5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Life Insurance</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(99.3)</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09"/>
        </w:trPr>
        <w:tc>
          <w:tcPr>
            <w:tcW w:w="5340" w:type="dxa"/>
            <w:vAlign w:val="bottom"/>
          </w:tcPr>
          <w:p>
            <w:pPr>
              <w:ind w:left="80"/>
              <w:spacing w:after="0"/>
              <w:rPr>
                <w:sz w:val="20"/>
                <w:szCs w:val="20"/>
                <w:color w:val="auto"/>
              </w:rPr>
            </w:pPr>
            <w:r>
              <w:rPr>
                <w:rFonts w:ascii="Arial" w:cs="Arial" w:eastAsia="Arial" w:hAnsi="Arial"/>
                <w:sz w:val="16"/>
                <w:szCs w:val="16"/>
                <w:color w:val="auto"/>
              </w:rPr>
              <w:t>Benefits and Protection</w:t>
            </w:r>
          </w:p>
        </w:tc>
        <w:tc>
          <w:tcPr>
            <w:tcW w:w="102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84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(91.0)</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459"/>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Corporate</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7"/>
        </w:trPr>
        <w:tc>
          <w:tcPr>
            <w:tcW w:w="53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Total segment pre-tax operating earnings (losses)</w:t>
            </w:r>
          </w:p>
        </w:tc>
        <w:tc>
          <w:tcPr>
            <w:tcW w:w="10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(72.6)</w:t>
            </w:r>
          </w:p>
        </w:tc>
        <w:tc>
          <w:tcPr>
            <w:tcW w:w="8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(60.1)</w:t>
            </w: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(90.0)</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300"/>
        <w:spacing w:after="0" w:line="270" w:lineRule="auto"/>
        <w:rPr>
          <w:sz w:val="20"/>
          <w:szCs w:val="20"/>
          <w:color w:val="auto"/>
        </w:rPr>
      </w:pPr>
      <w:r>
        <w:rPr>
          <w:rFonts w:ascii="Arial" w:cs="Arial" w:eastAsia="Arial" w:hAnsi="Arial"/>
          <w:sz w:val="20"/>
          <w:szCs w:val="20"/>
          <w:b w:val="1"/>
          <w:bCs w:val="1"/>
          <w:color w:val="auto"/>
        </w:rPr>
        <w:t xml:space="preserve">Income statement line item details of significant variances are available in our earnings conference call presentation on our </w:t>
      </w:r>
      <w:r>
        <w:rPr>
          <w:rFonts w:ascii="Arial" w:cs="Arial" w:eastAsia="Arial" w:hAnsi="Arial"/>
          <w:sz w:val="20"/>
          <w:szCs w:val="20"/>
          <w:b w:val="1"/>
          <w:bCs w:val="1"/>
          <w:u w:val="single" w:color="auto"/>
          <w:color w:val="0000FF"/>
        </w:rPr>
        <w:t>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firstLine="8"/>
        <w:spacing w:after="0" w:line="251" w:lineRule="auto"/>
        <w:tabs>
          <w:tab w:leader="none" w:pos="195"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Significant variances (SVs) in 3Q26 include 1) lower than expected variable investment income in RIS, International Pension, Specialty Benefits, Life Insurance, and Corporate; 2) lower than expected encaje performance partially offset by higher than expected Latin American inflation in International Pension; 3) integration costs in Specialty Benefits and Corporate. SVs in 3Q25 include 1) lower than expected variable investment income in RIS, International Pension, Specialty Benefits, and Life Insurance, partially offset by higher than expected variable investment income in Corporate; 2) impact of higher than expected encaje performance and Latin American inflation in International Pension; 3) impacts of 2025 actuarial assumption review. SVs on a trailing twelve months in 3Q26 include 1) lower than expected variable investment income in RIS, International Pension, Specialty Benefits, Life Insurance, and Corporate; 2) higher than expected Latin America inflation partially offset by lower than expected encaje performance in International Pension; 3) integration costs in Specialty Benefits and Corporate. SVs on a trailing twelve months in 3Q25 include 1) lower than expected variable investment income in RIS, International Pension, Specialty Benefits, and Life Insurance, partially offset by higher than expected variable investment income in Corporate; 2) impacts of 2025 actuarial assumption review; 3) higher than expected encaje performance and Latin American inflation in International Pension; 4) impact from a one-time expense accrual release in RIS, Investment Management, Specialty Benefits, Life Insurance, and Corporate; 5) impact of GAAP-only regulatory closed block adjustment in Life Insurance; 6) impact of model refinement in Specialty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004C97"/>
        </w:rPr>
        <w:t>Earnings Conference Call</w:t>
      </w:r>
    </w:p>
    <w:p>
      <w:pPr>
        <w:spacing w:after="0" w:line="43"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On Tuesday, Oct. 27, 2026, at 10:00 a.m. (ET), Chair, President, and Chief Executive Officer Deanna Strable and Executive Vice President and Chief Financial Officer Joel Pitz will lead a discussion of results during a live conference call, which can be accessed as follows:</w:t>
      </w:r>
    </w:p>
    <w:p>
      <w:pPr>
        <w:ind w:left="340" w:right="140" w:hanging="332"/>
        <w:spacing w:after="0" w:line="253" w:lineRule="auto"/>
        <w:tabs>
          <w:tab w:leader="none" w:pos="34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 xml:space="preserve">Via live Internet webcast. Please go to </w:t>
      </w:r>
      <w:r>
        <w:rPr>
          <w:rFonts w:ascii="Arial" w:cs="Arial" w:eastAsia="Arial" w:hAnsi="Arial"/>
          <w:sz w:val="20"/>
          <w:szCs w:val="20"/>
          <w:u w:val="single" w:color="auto"/>
          <w:color w:val="0000FF"/>
        </w:rPr>
        <w:t>investors.principal.com</w:t>
      </w:r>
      <w:r>
        <w:rPr>
          <w:rFonts w:ascii="Arial" w:cs="Arial" w:eastAsia="Arial" w:hAnsi="Arial"/>
          <w:sz w:val="20"/>
          <w:szCs w:val="20"/>
          <w:color w:val="auto"/>
        </w:rPr>
        <w:t xml:space="preserve"> at least 10-15 minutes prior to the start of the call to register, and to download and install any necessary audio software.</w:t>
      </w:r>
    </w:p>
    <w:p>
      <w:pPr>
        <w:spacing w:after="0" w:line="1" w:lineRule="exact"/>
        <w:rPr>
          <w:rFonts w:ascii="Arial" w:cs="Arial" w:eastAsia="Arial" w:hAnsi="Arial"/>
          <w:sz w:val="20"/>
          <w:szCs w:val="20"/>
          <w:b w:val="1"/>
          <w:bCs w:val="1"/>
          <w:color w:val="auto"/>
        </w:rPr>
      </w:pPr>
    </w:p>
    <w:p>
      <w:pPr>
        <w:ind w:left="340" w:hanging="332"/>
        <w:spacing w:after="0"/>
        <w:tabs>
          <w:tab w:leader="none" w:pos="34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Analysts who will be asking questions will be sent a dial in number and authorization code in advance of the call.</w:t>
      </w:r>
    </w:p>
    <w:p>
      <w:pPr>
        <w:spacing w:after="0" w:line="48" w:lineRule="exact"/>
        <w:rPr>
          <w:rFonts w:ascii="Arial" w:cs="Arial" w:eastAsia="Arial" w:hAnsi="Arial"/>
          <w:sz w:val="20"/>
          <w:szCs w:val="20"/>
          <w:b w:val="1"/>
          <w:bCs w:val="1"/>
          <w:color w:val="auto"/>
        </w:rPr>
      </w:pPr>
    </w:p>
    <w:p>
      <w:pPr>
        <w:ind w:left="340" w:right="1800" w:hanging="332"/>
        <w:spacing w:after="0" w:line="257" w:lineRule="auto"/>
        <w:tabs>
          <w:tab w:leader="none" w:pos="34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 xml:space="preserve">Replay of the earnings call via webcast as well as a transcript of the call will be available after the call at </w:t>
      </w:r>
      <w:r>
        <w:rPr>
          <w:rFonts w:ascii="Arial" w:cs="Arial" w:eastAsia="Arial" w:hAnsi="Arial"/>
          <w:sz w:val="20"/>
          <w:szCs w:val="20"/>
          <w:u w:val="single" w:color="auto"/>
          <w:color w:val="0000FF"/>
        </w:rPr>
        <w:t>investors.principal.com</w:t>
      </w:r>
      <w:r>
        <w:rPr>
          <w:rFonts w:ascii="Arial" w:cs="Arial" w:eastAsia="Arial" w:hAnsi="Arial"/>
          <w:sz w:val="20"/>
          <w:szCs w:val="20"/>
          <w:color w:val="000000"/>
        </w:rPr>
        <w:t>.</w:t>
      </w:r>
    </w:p>
    <w:p>
      <w:pPr>
        <w:spacing w:after="0" w:line="182"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 xml:space="preserve">The company’s financial supplement and slide presentation are currently available at </w:t>
      </w:r>
      <w:r>
        <w:rPr>
          <w:rFonts w:ascii="Arial" w:cs="Arial" w:eastAsia="Arial" w:hAnsi="Arial"/>
          <w:sz w:val="20"/>
          <w:szCs w:val="20"/>
          <w:u w:val="single" w:color="auto"/>
          <w:color w:val="0000FF"/>
        </w:rPr>
        <w:t>investors.principal.com</w:t>
      </w:r>
      <w:r>
        <w:rPr>
          <w:rFonts w:ascii="Arial" w:cs="Arial" w:eastAsia="Arial" w:hAnsi="Arial"/>
          <w:sz w:val="20"/>
          <w:szCs w:val="20"/>
          <w:color w:val="auto"/>
        </w:rPr>
        <w:t>, and may be referred to during the call.</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4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release contains statements that constitute forward-looking statements within the meaning of the Private Securities Litigation Reform Act of 1995, including statements relating to share repurchases and planned dividends, the realization of our growth and business strategies and results from ongoing operations. Forward-looking statements are made based upon our current expectations and beliefs concerning future developments and their potential effects on us. Such forward-looking statements are not guarantees of future performance and actual results may differ materially from the results anticipated in the forward-looking statements. We describe risks, uncertainties, and factors that could cause or contribute to such material differences in our filings with the Securities and Exchange Commission, including in the “Risk Factors” and “Note Concerning Forward-Looking Statements” sections in our annual report on Form 10-K for the year ended Dec. 31, 2025, as updated or supplemented from time to time in subsequent filings. We assume no obligation to update any forward-looking statement for any reason, which speaks as of its date.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43"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The company uses a number of non-GAAP financial measures that management believes are useful to investors because they illustrate the performance of normal, ongoing operations, which is important in understanding and evaluating the company’s financial condition and results of operations. They are not, however, a substitute for U.S. GAAP financial measures. Therefore, the company has provided reconciliations of the non-GAAP measures to the most directly comparable U.S. GAAP measure at the end of the release. The company adjusts U.S. GAAP measures for items not directly related to ongoing operations. However, it is possible these adjusting items have occurred in the past and could recur in future reporting periods. Management also uses non-GAAP measures for goal setting, as a basis for determining employee and senior management awards and compensation, and evaluating performance on a basis comparable to that used by investors and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About Principal</w:t>
      </w:r>
      <w:r>
        <w:rPr>
          <w:rFonts w:ascii="Arial" w:cs="Arial" w:eastAsia="Arial" w:hAnsi="Arial"/>
          <w:sz w:val="32"/>
          <w:szCs w:val="32"/>
          <w:b w:val="1"/>
          <w:bCs w:val="1"/>
          <w:color w:val="auto"/>
          <w:vertAlign w:val="superscript"/>
        </w:rPr>
        <w:t>®</w:t>
      </w:r>
      <w:r>
        <w:rPr>
          <w:rFonts w:ascii="Arial" w:cs="Arial" w:eastAsia="Arial" w:hAnsi="Arial"/>
          <w:sz w:val="39"/>
          <w:szCs w:val="39"/>
          <w:b w:val="1"/>
          <w:bCs w:val="1"/>
          <w:color w:val="auto"/>
          <w:vertAlign w:val="superscript"/>
        </w:rPr>
        <w:t>11</w:t>
      </w:r>
    </w:p>
    <w:p>
      <w:pPr>
        <w:spacing w:after="0" w:line="181" w:lineRule="auto"/>
        <w:rPr>
          <w:sz w:val="20"/>
          <w:szCs w:val="20"/>
          <w:color w:val="auto"/>
        </w:rPr>
      </w:pPr>
      <w:r>
        <w:rPr>
          <w:rFonts w:ascii="Arial" w:cs="Arial" w:eastAsia="Arial" w:hAnsi="Arial"/>
          <w:sz w:val="19"/>
          <w:szCs w:val="19"/>
          <w:color w:val="auto"/>
        </w:rPr>
        <w:t>Principal Financial Group</w:t>
      </w:r>
      <w:r>
        <w:rPr>
          <w:rFonts w:ascii="Arial" w:cs="Arial" w:eastAsia="Arial" w:hAnsi="Arial"/>
          <w:sz w:val="31"/>
          <w:szCs w:val="31"/>
          <w:color w:val="auto"/>
          <w:vertAlign w:val="superscript"/>
        </w:rPr>
        <w:t>®</w:t>
      </w:r>
      <w:r>
        <w:rPr>
          <w:rFonts w:ascii="Arial" w:cs="Arial" w:eastAsia="Arial" w:hAnsi="Arial"/>
          <w:sz w:val="19"/>
          <w:szCs w:val="19"/>
          <w:color w:val="auto"/>
        </w:rPr>
        <w:t xml:space="preserve"> (Nasdaq: PFG) is a global financial company with over 19,000 employees</w:t>
      </w:r>
      <w:r>
        <w:rPr>
          <w:rFonts w:ascii="Arial" w:cs="Arial" w:eastAsia="Arial" w:hAnsi="Arial"/>
          <w:sz w:val="31"/>
          <w:szCs w:val="31"/>
          <w:color w:val="auto"/>
          <w:vertAlign w:val="superscript"/>
        </w:rPr>
        <w:t>12</w:t>
      </w:r>
      <w:r>
        <w:rPr>
          <w:rFonts w:ascii="Arial" w:cs="Arial" w:eastAsia="Arial" w:hAnsi="Arial"/>
          <w:sz w:val="19"/>
          <w:szCs w:val="19"/>
          <w:color w:val="auto"/>
        </w:rPr>
        <w:t xml:space="preserve"> passionate about</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19"/>
          <w:szCs w:val="19"/>
          <w:color w:val="auto"/>
        </w:rPr>
        <w:t>improving the wealth and well-being of people and businesses. In business for 147 years, we’re helping 84 million customers</w:t>
      </w:r>
      <w:r>
        <w:rPr>
          <w:rFonts w:ascii="Arial" w:cs="Arial" w:eastAsia="Arial" w:hAnsi="Arial"/>
          <w:sz w:val="31"/>
          <w:szCs w:val="31"/>
          <w:color w:val="auto"/>
          <w:vertAlign w:val="superscript"/>
        </w:rPr>
        <w:t>12</w:t>
      </w:r>
      <w:r>
        <w:rPr>
          <w:rFonts w:ascii="Arial" w:cs="Arial" w:eastAsia="Arial" w:hAnsi="Arial"/>
          <w:sz w:val="19"/>
          <w:szCs w:val="19"/>
          <w:color w:val="auto"/>
        </w:rPr>
        <w:t xml:space="preserve"> plan, insure, invest, and retire, while working to support the communities where we do business, and building an inclusive</w:t>
      </w:r>
    </w:p>
    <w:p>
      <w:pPr>
        <w:spacing w:after="0" w:line="183" w:lineRule="auto"/>
        <w:rPr>
          <w:sz w:val="20"/>
          <w:szCs w:val="20"/>
          <w:color w:val="auto"/>
        </w:rPr>
      </w:pPr>
      <w:r>
        <w:rPr>
          <w:rFonts w:ascii="Arial" w:cs="Arial" w:eastAsia="Arial" w:hAnsi="Arial"/>
          <w:sz w:val="19"/>
          <w:szCs w:val="19"/>
          <w:color w:val="auto"/>
        </w:rPr>
        <w:t>workforce. Principal</w:t>
      </w:r>
      <w:r>
        <w:rPr>
          <w:rFonts w:ascii="Arial" w:cs="Arial" w:eastAsia="Arial" w:hAnsi="Arial"/>
          <w:sz w:val="31"/>
          <w:szCs w:val="31"/>
          <w:color w:val="auto"/>
          <w:vertAlign w:val="superscript"/>
        </w:rPr>
        <w:t>®</w:t>
      </w:r>
      <w:r>
        <w:rPr>
          <w:rFonts w:ascii="Arial" w:cs="Arial" w:eastAsia="Arial" w:hAnsi="Arial"/>
          <w:sz w:val="19"/>
          <w:szCs w:val="19"/>
          <w:color w:val="auto"/>
        </w:rPr>
        <w:t xml:space="preserve"> is proud to be recognized as one of the 2026 World’s Most Ethical Companies</w:t>
      </w:r>
      <w:r>
        <w:rPr>
          <w:rFonts w:ascii="Arial" w:cs="Arial" w:eastAsia="Arial" w:hAnsi="Arial"/>
          <w:sz w:val="31"/>
          <w:szCs w:val="31"/>
          <w:color w:val="auto"/>
          <w:vertAlign w:val="superscript"/>
        </w:rPr>
        <w:t>13</w:t>
      </w:r>
      <w:r>
        <w:rPr>
          <w:rFonts w:ascii="Arial" w:cs="Arial" w:eastAsia="Arial" w:hAnsi="Arial"/>
          <w:sz w:val="19"/>
          <w:szCs w:val="19"/>
          <w:color w:val="auto"/>
        </w:rPr>
        <w:t xml:space="preserve"> and named as a “Best</w:t>
      </w:r>
    </w:p>
    <w:p>
      <w:pPr>
        <w:ind w:right="740"/>
        <w:spacing w:after="0" w:line="204" w:lineRule="auto"/>
        <w:rPr>
          <w:sz w:val="20"/>
          <w:szCs w:val="20"/>
          <w:color w:val="auto"/>
        </w:rPr>
      </w:pPr>
      <w:r>
        <w:rPr>
          <w:rFonts w:ascii="Arial" w:cs="Arial" w:eastAsia="Arial" w:hAnsi="Arial"/>
          <w:sz w:val="20"/>
          <w:szCs w:val="20"/>
          <w:color w:val="auto"/>
        </w:rPr>
        <w:t>Place to Work in Money Management</w:t>
      </w:r>
      <w:r>
        <w:rPr>
          <w:rFonts w:ascii="Arial" w:cs="Arial" w:eastAsia="Arial" w:hAnsi="Arial"/>
          <w:sz w:val="32"/>
          <w:szCs w:val="32"/>
          <w:color w:val="auto"/>
          <w:vertAlign w:val="superscript"/>
        </w:rPr>
        <w:t>14</w:t>
      </w:r>
      <w:r>
        <w:rPr>
          <w:rFonts w:ascii="Arial" w:cs="Arial" w:eastAsia="Arial" w:hAnsi="Arial"/>
          <w:sz w:val="20"/>
          <w:szCs w:val="20"/>
          <w:color w:val="auto"/>
        </w:rPr>
        <w:t xml:space="preserve">.” Learn more about Principal and our commitment to building a better future at </w:t>
      </w:r>
      <w:r>
        <w:rPr>
          <w:rFonts w:ascii="Arial" w:cs="Arial" w:eastAsia="Arial" w:hAnsi="Arial"/>
          <w:sz w:val="20"/>
          <w:szCs w:val="20"/>
          <w:u w:val="single" w:color="auto"/>
          <w:color w:val="auto"/>
        </w:rPr>
        <w:t>principal.com</w:t>
      </w:r>
      <w:r>
        <w:rPr>
          <w:rFonts w:ascii="Arial" w:cs="Arial" w:eastAsia="Arial" w:hAnsi="Arial"/>
          <w:sz w:val="20"/>
          <w:szCs w:val="20"/>
          <w:color w:val="auto"/>
        </w:rPr>
        <w:t>.</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Financial Group</w:t>
      </w:r>
      <w:r>
        <w:rPr>
          <w:rFonts w:ascii="Arial" w:cs="Arial" w:eastAsia="Arial" w:hAnsi="Arial"/>
          <w:sz w:val="32"/>
          <w:szCs w:val="32"/>
          <w:b w:val="1"/>
          <w:bCs w:val="1"/>
          <w:color w:val="auto"/>
          <w:vertAlign w:val="superscript"/>
        </w:rPr>
        <w:t>®</w:t>
      </w:r>
      <w:r>
        <w:rPr>
          <w:rFonts w:ascii="Arial" w:cs="Arial" w:eastAsia="Arial" w:hAnsi="Arial"/>
          <w:sz w:val="18"/>
          <w:szCs w:val="18"/>
          <w:b w:val="1"/>
          <w:bCs w:val="1"/>
          <w:color w:val="auto"/>
        </w:rPr>
        <w:t xml:space="preserve"> and Segment Results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shd w:val="clear" w:color="auto" w:fill="004C97"/>
          </w:tcPr>
          <w:p>
            <w:pPr>
              <w:spacing w:after="0"/>
              <w:rPr>
                <w:sz w:val="16"/>
                <w:szCs w:val="16"/>
                <w:color w:val="auto"/>
              </w:rPr>
            </w:pPr>
          </w:p>
        </w:tc>
        <w:tc>
          <w:tcPr>
            <w:tcW w:w="460" w:type="dxa"/>
            <w:vAlign w:val="bottom"/>
            <w:shd w:val="clear" w:color="auto" w:fill="004C97"/>
          </w:tcPr>
          <w:p>
            <w:pPr>
              <w:spacing w:after="0"/>
              <w:rPr>
                <w:sz w:val="16"/>
                <w:szCs w:val="16"/>
                <w:color w:val="auto"/>
              </w:rPr>
            </w:pPr>
          </w:p>
        </w:tc>
        <w:tc>
          <w:tcPr>
            <w:tcW w:w="960" w:type="dxa"/>
            <w:vAlign w:val="bottom"/>
            <w:shd w:val="clear" w:color="auto" w:fill="004C97"/>
          </w:tcPr>
          <w:p>
            <w:pPr>
              <w:spacing w:after="0"/>
              <w:rPr>
                <w:sz w:val="16"/>
                <w:szCs w:val="16"/>
                <w:color w:val="auto"/>
              </w:rPr>
            </w:pPr>
          </w:p>
        </w:tc>
        <w:tc>
          <w:tcPr>
            <w:tcW w:w="320" w:type="dxa"/>
            <w:vAlign w:val="bottom"/>
            <w:shd w:val="clear" w:color="auto" w:fill="004C97"/>
          </w:tcPr>
          <w:p>
            <w:pPr>
              <w:spacing w:after="0"/>
              <w:rPr>
                <w:sz w:val="16"/>
                <w:szCs w:val="16"/>
                <w:color w:val="auto"/>
              </w:rPr>
            </w:pPr>
          </w:p>
        </w:tc>
        <w:tc>
          <w:tcPr>
            <w:tcW w:w="1400" w:type="dxa"/>
            <w:vAlign w:val="bottom"/>
            <w:gridSpan w:val="2"/>
            <w:shd w:val="clear" w:color="auto" w:fill="004C97"/>
          </w:tcPr>
          <w:p>
            <w:pPr>
              <w:jc w:val="right"/>
              <w:spacing w:after="0"/>
              <w:rPr>
                <w:sz w:val="20"/>
                <w:szCs w:val="20"/>
                <w:color w:val="auto"/>
              </w:rPr>
            </w:pPr>
            <w:r>
              <w:rPr>
                <w:rFonts w:ascii="Arial" w:cs="Arial" w:eastAsia="Arial" w:hAnsi="Arial"/>
                <w:sz w:val="16"/>
                <w:szCs w:val="16"/>
                <w:color w:val="FFFFFF"/>
              </w:rPr>
              <w:t>(in millions)</w:t>
            </w:r>
          </w:p>
        </w:tc>
        <w:tc>
          <w:tcPr>
            <w:tcW w:w="860" w:type="dxa"/>
            <w:vAlign w:val="bottom"/>
            <w:shd w:val="clear" w:color="auto" w:fill="004C97"/>
          </w:tcPr>
          <w:p>
            <w:pPr>
              <w:spacing w:after="0"/>
              <w:rPr>
                <w:sz w:val="16"/>
                <w:szCs w:val="16"/>
                <w:color w:val="auto"/>
              </w:rPr>
            </w:pPr>
          </w:p>
        </w:tc>
        <w:tc>
          <w:tcPr>
            <w:tcW w:w="320" w:type="dxa"/>
            <w:vAlign w:val="bottom"/>
            <w:shd w:val="clear" w:color="auto" w:fill="004C97"/>
          </w:tcPr>
          <w:p>
            <w:pPr>
              <w:spacing w:after="0"/>
              <w:rPr>
                <w:sz w:val="16"/>
                <w:szCs w:val="16"/>
                <w:color w:val="auto"/>
              </w:rPr>
            </w:pPr>
          </w:p>
        </w:tc>
        <w:tc>
          <w:tcPr>
            <w:tcW w:w="940" w:type="dxa"/>
            <w:vAlign w:val="bottom"/>
            <w:shd w:val="clear" w:color="auto" w:fill="004C9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004C97"/>
          </w:tcPr>
          <w:p>
            <w:pPr>
              <w:spacing w:after="0"/>
              <w:rPr>
                <w:sz w:val="16"/>
                <w:szCs w:val="16"/>
                <w:color w:val="auto"/>
              </w:rPr>
            </w:pPr>
          </w:p>
        </w:tc>
        <w:tc>
          <w:tcPr>
            <w:tcW w:w="460" w:type="dxa"/>
            <w:vAlign w:val="bottom"/>
            <w:shd w:val="clear" w:color="auto" w:fill="004C97"/>
          </w:tcPr>
          <w:p>
            <w:pPr>
              <w:spacing w:after="0"/>
              <w:rPr>
                <w:sz w:val="16"/>
                <w:szCs w:val="16"/>
                <w:color w:val="auto"/>
              </w:rPr>
            </w:pPr>
          </w:p>
        </w:tc>
        <w:tc>
          <w:tcPr>
            <w:tcW w:w="2280" w:type="dxa"/>
            <w:vAlign w:val="bottom"/>
            <w:gridSpan w:val="3"/>
            <w:shd w:val="clear" w:color="auto" w:fill="004C97"/>
          </w:tcPr>
          <w:p>
            <w:pPr>
              <w:jc w:val="right"/>
              <w:ind w:right="439"/>
              <w:spacing w:after="0"/>
              <w:rPr>
                <w:sz w:val="20"/>
                <w:szCs w:val="20"/>
                <w:color w:val="auto"/>
              </w:rPr>
            </w:pPr>
            <w:r>
              <w:rPr>
                <w:rFonts w:ascii="Arial" w:cs="Arial" w:eastAsia="Arial" w:hAnsi="Arial"/>
                <w:sz w:val="16"/>
                <w:szCs w:val="16"/>
                <w:color w:val="FFFFFF"/>
              </w:rPr>
              <w:t>Three Months Ended,</w:t>
            </w:r>
          </w:p>
        </w:tc>
        <w:tc>
          <w:tcPr>
            <w:tcW w:w="400" w:type="dxa"/>
            <w:vAlign w:val="bottom"/>
            <w:shd w:val="clear" w:color="auto" w:fill="004C97"/>
          </w:tcPr>
          <w:p>
            <w:pPr>
              <w:spacing w:after="0"/>
              <w:rPr>
                <w:sz w:val="16"/>
                <w:szCs w:val="16"/>
                <w:color w:val="auto"/>
              </w:rPr>
            </w:pPr>
          </w:p>
        </w:tc>
        <w:tc>
          <w:tcPr>
            <w:tcW w:w="2120" w:type="dxa"/>
            <w:vAlign w:val="bottom"/>
            <w:gridSpan w:val="3"/>
            <w:shd w:val="clear" w:color="auto" w:fill="004C97"/>
          </w:tcPr>
          <w:p>
            <w:pPr>
              <w:jc w:val="right"/>
              <w:ind w:right="339"/>
              <w:spacing w:after="0"/>
              <w:rPr>
                <w:sz w:val="20"/>
                <w:szCs w:val="20"/>
                <w:color w:val="auto"/>
              </w:rPr>
            </w:pPr>
            <w:r>
              <w:rPr>
                <w:rFonts w:ascii="Arial" w:cs="Arial" w:eastAsia="Arial" w:hAnsi="Arial"/>
                <w:sz w:val="16"/>
                <w:szCs w:val="16"/>
                <w:color w:val="FFFFFF"/>
                <w:w w:val="99"/>
              </w:rPr>
              <w:t>Trailing Twelve Months,</w:t>
            </w:r>
          </w:p>
        </w:tc>
        <w:tc>
          <w:tcPr>
            <w:tcW w:w="0" w:type="dxa"/>
            <w:vAlign w:val="bottom"/>
          </w:tcPr>
          <w:p>
            <w:pPr>
              <w:spacing w:after="0"/>
              <w:rPr>
                <w:sz w:val="1"/>
                <w:szCs w:val="1"/>
                <w:color w:val="auto"/>
              </w:rPr>
            </w:pPr>
          </w:p>
        </w:tc>
      </w:tr>
      <w:tr>
        <w:trPr>
          <w:trHeight w:val="215"/>
        </w:trPr>
        <w:tc>
          <w:tcPr>
            <w:tcW w:w="4840" w:type="dxa"/>
            <w:vAlign w:val="bottom"/>
            <w:vMerge w:val="restart"/>
            <w:shd w:val="clear" w:color="auto" w:fill="004C97"/>
          </w:tcPr>
          <w:p>
            <w:pPr>
              <w:ind w:left="100"/>
              <w:spacing w:after="0"/>
              <w:rPr>
                <w:sz w:val="20"/>
                <w:szCs w:val="20"/>
                <w:color w:val="auto"/>
              </w:rPr>
            </w:pPr>
            <w:r>
              <w:rPr>
                <w:rFonts w:ascii="Arial" w:cs="Arial" w:eastAsia="Arial" w:hAnsi="Arial"/>
                <w:sz w:val="16"/>
                <w:szCs w:val="16"/>
                <w:b w:val="1"/>
                <w:bCs w:val="1"/>
                <w:color w:val="FFFFFF"/>
              </w:rPr>
              <w:t>Principal Financial Group, Inc. Results</w:t>
            </w:r>
          </w:p>
        </w:tc>
        <w:tc>
          <w:tcPr>
            <w:tcW w:w="460" w:type="dxa"/>
            <w:vAlign w:val="bottom"/>
            <w:shd w:val="clear" w:color="auto" w:fill="004C97"/>
          </w:tcPr>
          <w:p>
            <w:pPr>
              <w:spacing w:after="0"/>
              <w:rPr>
                <w:sz w:val="18"/>
                <w:szCs w:val="18"/>
                <w:color w:val="auto"/>
              </w:rPr>
            </w:pPr>
          </w:p>
        </w:tc>
        <w:tc>
          <w:tcPr>
            <w:tcW w:w="960" w:type="dxa"/>
            <w:vAlign w:val="bottom"/>
            <w:shd w:val="clear" w:color="auto" w:fill="004C97"/>
          </w:tcPr>
          <w:p>
            <w:pPr>
              <w:jc w:val="right"/>
              <w:ind w:right="359"/>
              <w:spacing w:after="0"/>
              <w:rPr>
                <w:sz w:val="20"/>
                <w:szCs w:val="20"/>
                <w:color w:val="auto"/>
              </w:rPr>
            </w:pPr>
            <w:r>
              <w:rPr>
                <w:rFonts w:ascii="Arial" w:cs="Arial" w:eastAsia="Arial" w:hAnsi="Arial"/>
                <w:sz w:val="16"/>
                <w:szCs w:val="16"/>
                <w:color w:val="FFFFFF"/>
              </w:rPr>
              <w:t>3Q26</w:t>
            </w:r>
          </w:p>
        </w:tc>
        <w:tc>
          <w:tcPr>
            <w:tcW w:w="320" w:type="dxa"/>
            <w:vAlign w:val="bottom"/>
            <w:shd w:val="clear" w:color="auto" w:fill="004C97"/>
          </w:tcPr>
          <w:p>
            <w:pPr>
              <w:spacing w:after="0"/>
              <w:rPr>
                <w:sz w:val="18"/>
                <w:szCs w:val="18"/>
                <w:color w:val="auto"/>
              </w:rPr>
            </w:pPr>
          </w:p>
        </w:tc>
        <w:tc>
          <w:tcPr>
            <w:tcW w:w="1000" w:type="dxa"/>
            <w:vAlign w:val="bottom"/>
            <w:shd w:val="clear" w:color="auto" w:fill="004C97"/>
          </w:tcPr>
          <w:p>
            <w:pPr>
              <w:jc w:val="right"/>
              <w:ind w:right="379"/>
              <w:spacing w:after="0"/>
              <w:rPr>
                <w:sz w:val="20"/>
                <w:szCs w:val="20"/>
                <w:color w:val="auto"/>
              </w:rPr>
            </w:pPr>
            <w:r>
              <w:rPr>
                <w:rFonts w:ascii="Arial" w:cs="Arial" w:eastAsia="Arial" w:hAnsi="Arial"/>
                <w:sz w:val="16"/>
                <w:szCs w:val="16"/>
                <w:color w:val="FFFFFF"/>
              </w:rPr>
              <w:t>3Q25</w:t>
            </w:r>
          </w:p>
        </w:tc>
        <w:tc>
          <w:tcPr>
            <w:tcW w:w="400" w:type="dxa"/>
            <w:vAlign w:val="bottom"/>
            <w:shd w:val="clear" w:color="auto" w:fill="004C97"/>
          </w:tcPr>
          <w:p>
            <w:pPr>
              <w:spacing w:after="0"/>
              <w:rPr>
                <w:sz w:val="18"/>
                <w:szCs w:val="18"/>
                <w:color w:val="auto"/>
              </w:rPr>
            </w:pPr>
          </w:p>
        </w:tc>
        <w:tc>
          <w:tcPr>
            <w:tcW w:w="860" w:type="dxa"/>
            <w:vAlign w:val="bottom"/>
            <w:shd w:val="clear" w:color="auto" w:fill="004C97"/>
          </w:tcPr>
          <w:p>
            <w:pPr>
              <w:jc w:val="right"/>
              <w:ind w:right="359"/>
              <w:spacing w:after="0"/>
              <w:rPr>
                <w:sz w:val="20"/>
                <w:szCs w:val="20"/>
                <w:color w:val="auto"/>
              </w:rPr>
            </w:pPr>
            <w:r>
              <w:rPr>
                <w:rFonts w:ascii="Arial" w:cs="Arial" w:eastAsia="Arial" w:hAnsi="Arial"/>
                <w:sz w:val="16"/>
                <w:szCs w:val="16"/>
                <w:color w:val="FFFFFF"/>
              </w:rPr>
              <w:t>3Q26</w:t>
            </w:r>
          </w:p>
        </w:tc>
        <w:tc>
          <w:tcPr>
            <w:tcW w:w="320" w:type="dxa"/>
            <w:vAlign w:val="bottom"/>
            <w:shd w:val="clear" w:color="auto" w:fill="004C97"/>
          </w:tcPr>
          <w:p>
            <w:pPr>
              <w:spacing w:after="0"/>
              <w:rPr>
                <w:sz w:val="18"/>
                <w:szCs w:val="18"/>
                <w:color w:val="auto"/>
              </w:rPr>
            </w:pPr>
          </w:p>
        </w:tc>
        <w:tc>
          <w:tcPr>
            <w:tcW w:w="940" w:type="dxa"/>
            <w:vAlign w:val="bottom"/>
            <w:shd w:val="clear" w:color="auto" w:fill="004C97"/>
          </w:tcPr>
          <w:p>
            <w:pPr>
              <w:jc w:val="right"/>
              <w:ind w:right="359"/>
              <w:spacing w:after="0"/>
              <w:rPr>
                <w:sz w:val="20"/>
                <w:szCs w:val="20"/>
                <w:color w:val="auto"/>
              </w:rPr>
            </w:pPr>
            <w:r>
              <w:rPr>
                <w:rFonts w:ascii="Arial" w:cs="Arial" w:eastAsia="Arial" w:hAnsi="Arial"/>
                <w:sz w:val="16"/>
                <w:szCs w:val="16"/>
                <w:color w:val="FFFFFF"/>
              </w:rPr>
              <w:t>3Q25</w:t>
            </w:r>
          </w:p>
        </w:tc>
        <w:tc>
          <w:tcPr>
            <w:tcW w:w="0" w:type="dxa"/>
            <w:vAlign w:val="bottom"/>
          </w:tcPr>
          <w:p>
            <w:pPr>
              <w:spacing w:after="0"/>
              <w:rPr>
                <w:sz w:val="1"/>
                <w:szCs w:val="1"/>
                <w:color w:val="auto"/>
              </w:rPr>
            </w:pPr>
          </w:p>
        </w:tc>
      </w:tr>
      <w:tr>
        <w:trPr>
          <w:trHeight w:val="97"/>
        </w:trPr>
        <w:tc>
          <w:tcPr>
            <w:tcW w:w="4840" w:type="dxa"/>
            <w:vAlign w:val="bottom"/>
            <w:vMerge w:val="continue"/>
            <w:shd w:val="clear" w:color="auto" w:fill="004C97"/>
          </w:tcPr>
          <w:p>
            <w:pPr>
              <w:spacing w:after="0"/>
              <w:rPr>
                <w:sz w:val="8"/>
                <w:szCs w:val="8"/>
                <w:color w:val="auto"/>
              </w:rPr>
            </w:pPr>
          </w:p>
        </w:tc>
        <w:tc>
          <w:tcPr>
            <w:tcW w:w="460" w:type="dxa"/>
            <w:vAlign w:val="bottom"/>
            <w:shd w:val="clear" w:color="auto" w:fill="004C97"/>
          </w:tcPr>
          <w:p>
            <w:pPr>
              <w:spacing w:after="0"/>
              <w:rPr>
                <w:sz w:val="8"/>
                <w:szCs w:val="8"/>
                <w:color w:val="auto"/>
              </w:rPr>
            </w:pPr>
          </w:p>
        </w:tc>
        <w:tc>
          <w:tcPr>
            <w:tcW w:w="960" w:type="dxa"/>
            <w:vAlign w:val="bottom"/>
            <w:shd w:val="clear" w:color="auto" w:fill="004C97"/>
          </w:tcPr>
          <w:p>
            <w:pPr>
              <w:spacing w:after="0"/>
              <w:rPr>
                <w:sz w:val="8"/>
                <w:szCs w:val="8"/>
                <w:color w:val="auto"/>
              </w:rPr>
            </w:pPr>
          </w:p>
        </w:tc>
        <w:tc>
          <w:tcPr>
            <w:tcW w:w="320" w:type="dxa"/>
            <w:vAlign w:val="bottom"/>
            <w:shd w:val="clear" w:color="auto" w:fill="004C97"/>
          </w:tcPr>
          <w:p>
            <w:pPr>
              <w:spacing w:after="0"/>
              <w:rPr>
                <w:sz w:val="8"/>
                <w:szCs w:val="8"/>
                <w:color w:val="auto"/>
              </w:rPr>
            </w:pPr>
          </w:p>
        </w:tc>
        <w:tc>
          <w:tcPr>
            <w:tcW w:w="1000" w:type="dxa"/>
            <w:vAlign w:val="bottom"/>
            <w:shd w:val="clear" w:color="auto" w:fill="004C97"/>
          </w:tcPr>
          <w:p>
            <w:pPr>
              <w:spacing w:after="0"/>
              <w:rPr>
                <w:sz w:val="8"/>
                <w:szCs w:val="8"/>
                <w:color w:val="auto"/>
              </w:rPr>
            </w:pPr>
          </w:p>
        </w:tc>
        <w:tc>
          <w:tcPr>
            <w:tcW w:w="400" w:type="dxa"/>
            <w:vAlign w:val="bottom"/>
            <w:shd w:val="clear" w:color="auto" w:fill="004C97"/>
          </w:tcPr>
          <w:p>
            <w:pPr>
              <w:spacing w:after="0"/>
              <w:rPr>
                <w:sz w:val="8"/>
                <w:szCs w:val="8"/>
                <w:color w:val="auto"/>
              </w:rPr>
            </w:pPr>
          </w:p>
        </w:tc>
        <w:tc>
          <w:tcPr>
            <w:tcW w:w="860" w:type="dxa"/>
            <w:vAlign w:val="bottom"/>
            <w:shd w:val="clear" w:color="auto" w:fill="004C97"/>
          </w:tcPr>
          <w:p>
            <w:pPr>
              <w:spacing w:after="0"/>
              <w:rPr>
                <w:sz w:val="8"/>
                <w:szCs w:val="8"/>
                <w:color w:val="auto"/>
              </w:rPr>
            </w:pPr>
          </w:p>
        </w:tc>
        <w:tc>
          <w:tcPr>
            <w:tcW w:w="320" w:type="dxa"/>
            <w:vAlign w:val="bottom"/>
            <w:shd w:val="clear" w:color="auto" w:fill="004C97"/>
          </w:tcPr>
          <w:p>
            <w:pPr>
              <w:spacing w:after="0"/>
              <w:rPr>
                <w:sz w:val="8"/>
                <w:szCs w:val="8"/>
                <w:color w:val="auto"/>
              </w:rPr>
            </w:pPr>
          </w:p>
        </w:tc>
        <w:tc>
          <w:tcPr>
            <w:tcW w:w="940" w:type="dxa"/>
            <w:vAlign w:val="bottom"/>
            <w:shd w:val="clear" w:color="auto" w:fill="004C97"/>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840" w:type="dxa"/>
            <w:vAlign w:val="bottom"/>
          </w:tcPr>
          <w:p>
            <w:pPr>
              <w:ind w:left="100"/>
              <w:spacing w:after="0"/>
              <w:rPr>
                <w:sz w:val="20"/>
                <w:szCs w:val="20"/>
                <w:color w:val="auto"/>
              </w:rPr>
            </w:pPr>
            <w:r>
              <w:rPr>
                <w:rFonts w:ascii="Arial" w:cs="Arial" w:eastAsia="Arial" w:hAnsi="Arial"/>
                <w:sz w:val="16"/>
                <w:szCs w:val="16"/>
                <w:b w:val="1"/>
                <w:bCs w:val="1"/>
                <w:color w:val="auto"/>
              </w:rPr>
              <w:t>Net income (loss) attributable to PFG*</w:t>
            </w: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631.9</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213.8</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1,976.9</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1,573.5</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(Income) loss from exited business</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251.8</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(276.7)</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69"/>
        </w:trPr>
        <w:tc>
          <w:tcPr>
            <w:tcW w:w="4840" w:type="dxa"/>
            <w:vAlign w:val="bottom"/>
          </w:tcPr>
          <w:p>
            <w:pPr>
              <w:ind w:left="80"/>
              <w:spacing w:after="0" w:line="169" w:lineRule="exact"/>
              <w:rPr>
                <w:sz w:val="20"/>
                <w:szCs w:val="20"/>
                <w:color w:val="auto"/>
              </w:rPr>
            </w:pPr>
            <w:r>
              <w:rPr>
                <w:rFonts w:ascii="Arial" w:cs="Arial" w:eastAsia="Arial" w:hAnsi="Arial"/>
                <w:sz w:val="16"/>
                <w:szCs w:val="16"/>
                <w:b w:val="1"/>
                <w:bCs w:val="1"/>
                <w:color w:val="auto"/>
              </w:rPr>
              <w:t>Non-GAAP net income (loss) attributable to PFG excluding</w:t>
            </w:r>
          </w:p>
        </w:tc>
        <w:tc>
          <w:tcPr>
            <w:tcW w:w="4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354.8</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465.6</w:t>
            </w:r>
          </w:p>
        </w:tc>
        <w:tc>
          <w:tcPr>
            <w:tcW w:w="4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1,700.2</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1,550.8</w:t>
            </w:r>
          </w:p>
        </w:tc>
        <w:tc>
          <w:tcPr>
            <w:tcW w:w="0" w:type="dxa"/>
            <w:vAlign w:val="bottom"/>
          </w:tcPr>
          <w:p>
            <w:pPr>
              <w:spacing w:after="0"/>
              <w:rPr>
                <w:sz w:val="1"/>
                <w:szCs w:val="1"/>
                <w:color w:val="auto"/>
              </w:rPr>
            </w:pPr>
          </w:p>
        </w:tc>
      </w:tr>
      <w:tr>
        <w:trPr>
          <w:trHeight w:val="128"/>
        </w:trPr>
        <w:tc>
          <w:tcPr>
            <w:tcW w:w="48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exited business</w:t>
            </w:r>
          </w:p>
        </w:tc>
        <w:tc>
          <w:tcPr>
            <w:tcW w:w="4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8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00"/>
              <w:spacing w:after="0"/>
              <w:rPr>
                <w:sz w:val="20"/>
                <w:szCs w:val="20"/>
                <w:color w:val="auto"/>
              </w:rPr>
            </w:pPr>
            <w:r>
              <w:rPr>
                <w:rFonts w:ascii="Arial" w:cs="Arial" w:eastAsia="Arial" w:hAnsi="Arial"/>
                <w:sz w:val="16"/>
                <w:szCs w:val="16"/>
                <w:color w:val="auto"/>
              </w:rPr>
              <w:t>Net realized capital (gains) losses, as adjusted</w:t>
            </w:r>
          </w:p>
        </w:tc>
        <w:tc>
          <w:tcPr>
            <w:tcW w:w="4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3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4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267.7</w:t>
            </w:r>
          </w:p>
        </w:tc>
        <w:tc>
          <w:tcPr>
            <w:tcW w:w="3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Actuarial assumption review</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3"/>
        </w:trPr>
        <w:tc>
          <w:tcPr>
            <w:tcW w:w="484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Non-GAAP Operating Earnings*</w:t>
            </w:r>
          </w:p>
        </w:tc>
        <w:tc>
          <w:tcPr>
            <w:tcW w:w="4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481.8</w:t>
            </w:r>
          </w:p>
        </w:tc>
        <w:tc>
          <w:tcPr>
            <w:tcW w:w="3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473.7</w:t>
            </w:r>
          </w:p>
        </w:tc>
        <w:tc>
          <w:tcPr>
            <w:tcW w:w="400" w:type="dxa"/>
            <w:vAlign w:val="bottom"/>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1,972.9</w:t>
            </w:r>
          </w:p>
        </w:tc>
        <w:tc>
          <w:tcPr>
            <w:tcW w:w="3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1,825.6</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Income taxes</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439.8</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17"/>
        </w:trPr>
        <w:tc>
          <w:tcPr>
            <w:tcW w:w="4840" w:type="dxa"/>
            <w:vAlign w:val="bottom"/>
          </w:tcPr>
          <w:p>
            <w:pPr>
              <w:ind w:left="100"/>
              <w:spacing w:after="0"/>
              <w:rPr>
                <w:sz w:val="20"/>
                <w:szCs w:val="20"/>
                <w:color w:val="auto"/>
              </w:rPr>
            </w:pPr>
            <w:r>
              <w:rPr>
                <w:rFonts w:ascii="Arial" w:cs="Arial" w:eastAsia="Arial" w:hAnsi="Arial"/>
                <w:sz w:val="16"/>
                <w:szCs w:val="16"/>
                <w:b w:val="1"/>
                <w:bCs w:val="1"/>
                <w:color w:val="auto"/>
              </w:rPr>
              <w:t>Non-GAAP Pre-Tax Operating Earnings</w:t>
            </w: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587.5</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579.9</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2,412.7</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2,206.8</w:t>
            </w:r>
          </w:p>
        </w:tc>
        <w:tc>
          <w:tcPr>
            <w:tcW w:w="0" w:type="dxa"/>
            <w:vAlign w:val="bottom"/>
          </w:tcPr>
          <w:p>
            <w:pPr>
              <w:spacing w:after="0"/>
              <w:rPr>
                <w:sz w:val="1"/>
                <w:szCs w:val="1"/>
                <w:color w:val="auto"/>
              </w:rPr>
            </w:pPr>
          </w:p>
        </w:tc>
      </w:tr>
      <w:tr>
        <w:trPr>
          <w:trHeight w:val="465"/>
        </w:trPr>
        <w:tc>
          <w:tcPr>
            <w:tcW w:w="4840" w:type="dxa"/>
            <w:vAlign w:val="bottom"/>
          </w:tcPr>
          <w:p>
            <w:pPr>
              <w:ind w:left="100"/>
              <w:spacing w:after="0"/>
              <w:rPr>
                <w:sz w:val="20"/>
                <w:szCs w:val="20"/>
                <w:color w:val="auto"/>
              </w:rPr>
            </w:pPr>
            <w:r>
              <w:rPr>
                <w:rFonts w:ascii="Arial" w:cs="Arial" w:eastAsia="Arial" w:hAnsi="Arial"/>
                <w:sz w:val="16"/>
                <w:szCs w:val="16"/>
                <w:b w:val="1"/>
                <w:bCs w:val="1"/>
                <w:color w:val="auto"/>
              </w:rPr>
              <w:t>Segment Pre-Tax Operating Earnings (Losses):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00"/>
              <w:spacing w:after="0"/>
              <w:rPr>
                <w:sz w:val="20"/>
                <w:szCs w:val="20"/>
                <w:color w:val="auto"/>
              </w:rPr>
            </w:pPr>
            <w:r>
              <w:rPr>
                <w:rFonts w:ascii="Arial" w:cs="Arial" w:eastAsia="Arial" w:hAnsi="Arial"/>
                <w:sz w:val="16"/>
                <w:szCs w:val="16"/>
                <w:color w:val="auto"/>
              </w:rPr>
              <w:t>Retirement and Income Solutions</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297.8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310.3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1,222.7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1,166.2</w:t>
            </w:r>
          </w:p>
        </w:tc>
        <w:tc>
          <w:tcPr>
            <w:tcW w:w="0" w:type="dxa"/>
            <w:vAlign w:val="bottom"/>
          </w:tcPr>
          <w:p>
            <w:pPr>
              <w:spacing w:after="0"/>
              <w:rPr>
                <w:sz w:val="1"/>
                <w:szCs w:val="1"/>
                <w:color w:val="auto"/>
              </w:rPr>
            </w:pPr>
          </w:p>
        </w:tc>
      </w:tr>
      <w:tr>
        <w:trPr>
          <w:trHeight w:val="203"/>
        </w:trPr>
        <w:tc>
          <w:tcPr>
            <w:tcW w:w="4840" w:type="dxa"/>
            <w:vAlign w:val="bottom"/>
          </w:tcPr>
          <w:p>
            <w:pPr>
              <w:ind w:left="100"/>
              <w:spacing w:after="0"/>
              <w:rPr>
                <w:sz w:val="20"/>
                <w:szCs w:val="20"/>
                <w:color w:val="auto"/>
              </w:rPr>
            </w:pPr>
            <w:r>
              <w:rPr>
                <w:rFonts w:ascii="Arial" w:cs="Arial" w:eastAsia="Arial" w:hAnsi="Arial"/>
                <w:sz w:val="16"/>
                <w:szCs w:val="16"/>
                <w:color w:val="auto"/>
              </w:rPr>
              <w:t>Principal Asset Management</w:t>
            </w:r>
          </w:p>
        </w:tc>
        <w:tc>
          <w:tcPr>
            <w:tcW w:w="4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230.5</w:t>
            </w:r>
          </w:p>
        </w:tc>
        <w:tc>
          <w:tcPr>
            <w:tcW w:w="3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274.7</w:t>
            </w:r>
          </w:p>
        </w:tc>
        <w:tc>
          <w:tcPr>
            <w:tcW w:w="4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927.0</w:t>
            </w:r>
          </w:p>
        </w:tc>
        <w:tc>
          <w:tcPr>
            <w:tcW w:w="3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914.6</w:t>
            </w:r>
          </w:p>
        </w:tc>
        <w:tc>
          <w:tcPr>
            <w:tcW w:w="0" w:type="dxa"/>
            <w:vAlign w:val="bottom"/>
          </w:tcPr>
          <w:p>
            <w:pPr>
              <w:spacing w:after="0"/>
              <w:rPr>
                <w:sz w:val="1"/>
                <w:szCs w:val="1"/>
                <w:color w:val="auto"/>
              </w:rPr>
            </w:pPr>
          </w:p>
        </w:tc>
      </w:tr>
      <w:tr>
        <w:trPr>
          <w:trHeight w:val="203"/>
        </w:trPr>
        <w:tc>
          <w:tcPr>
            <w:tcW w:w="4840" w:type="dxa"/>
            <w:vAlign w:val="bottom"/>
          </w:tcPr>
          <w:p>
            <w:pPr>
              <w:ind w:left="100"/>
              <w:spacing w:after="0"/>
              <w:rPr>
                <w:sz w:val="20"/>
                <w:szCs w:val="20"/>
                <w:color w:val="auto"/>
              </w:rPr>
            </w:pPr>
            <w:r>
              <w:rPr>
                <w:rFonts w:ascii="Arial" w:cs="Arial" w:eastAsia="Arial" w:hAnsi="Arial"/>
                <w:sz w:val="16"/>
                <w:szCs w:val="16"/>
                <w:color w:val="auto"/>
              </w:rPr>
              <w:t>Benefits and Protection</w:t>
            </w:r>
          </w:p>
        </w:tc>
        <w:tc>
          <w:tcPr>
            <w:tcW w:w="4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169.7</w:t>
            </w:r>
          </w:p>
        </w:tc>
        <w:tc>
          <w:tcPr>
            <w:tcW w:w="3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4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693.4</w:t>
            </w:r>
          </w:p>
        </w:tc>
        <w:tc>
          <w:tcPr>
            <w:tcW w:w="3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508.3</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Corporate</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6"/>
                <w:szCs w:val="16"/>
                <w:b w:val="1"/>
                <w:bCs w:val="1"/>
                <w:color w:val="auto"/>
              </w:rPr>
              <w:t>Total Segment Pre-Tax Operating Earnings</w:t>
            </w: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587.5</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579.9</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2,412.7</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2,206.8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firstLine="8"/>
        <w:spacing w:after="0"/>
        <w:tabs>
          <w:tab w:leader="none" w:pos="164"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Principal, Principal and symbol design and Principal Financial Group are trademarks and service marks of Principal Financial Services, Inc., a member of the Principal Financial Group.</w:t>
      </w:r>
    </w:p>
    <w:p>
      <w:pPr>
        <w:spacing w:after="0" w:line="110"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As of September 30, 2026</w:t>
      </w:r>
    </w:p>
    <w:p>
      <w:pPr>
        <w:spacing w:after="0" w:line="13" w:lineRule="exact"/>
        <w:rPr>
          <w:rFonts w:ascii="Arial" w:cs="Arial" w:eastAsia="Arial" w:hAnsi="Arial"/>
          <w:sz w:val="21"/>
          <w:szCs w:val="21"/>
          <w:color w:val="auto"/>
          <w:vertAlign w:val="superscript"/>
        </w:rPr>
      </w:pPr>
    </w:p>
    <w:p>
      <w:pPr>
        <w:ind w:left="180" w:hanging="172"/>
        <w:spacing w:after="0" w:line="183" w:lineRule="auto"/>
        <w:tabs>
          <w:tab w:leader="none" w:pos="18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Ethisphere, 2026</w:t>
      </w:r>
    </w:p>
    <w:p>
      <w:pPr>
        <w:spacing w:after="0" w:line="13"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Pensions &amp; Investments,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97"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4860" w:type="dxa"/>
            <w:vAlign w:val="bottom"/>
            <w:shd w:val="clear" w:color="auto" w:fill="004C97"/>
          </w:tcPr>
          <w:p>
            <w:pPr>
              <w:spacing w:after="0"/>
              <w:rPr>
                <w:sz w:val="16"/>
                <w:szCs w:val="16"/>
                <w:color w:val="auto"/>
              </w:rPr>
            </w:pPr>
          </w:p>
        </w:tc>
        <w:tc>
          <w:tcPr>
            <w:tcW w:w="320" w:type="dxa"/>
            <w:vAlign w:val="bottom"/>
            <w:shd w:val="clear" w:color="auto" w:fill="004C97"/>
          </w:tcPr>
          <w:p>
            <w:pPr>
              <w:spacing w:after="0"/>
              <w:rPr>
                <w:sz w:val="16"/>
                <w:szCs w:val="16"/>
                <w:color w:val="auto"/>
              </w:rPr>
            </w:pPr>
          </w:p>
        </w:tc>
        <w:tc>
          <w:tcPr>
            <w:tcW w:w="1000" w:type="dxa"/>
            <w:vAlign w:val="bottom"/>
            <w:shd w:val="clear" w:color="auto" w:fill="004C97"/>
          </w:tcPr>
          <w:p>
            <w:pPr>
              <w:spacing w:after="0"/>
              <w:rPr>
                <w:sz w:val="16"/>
                <w:szCs w:val="16"/>
                <w:color w:val="auto"/>
              </w:rPr>
            </w:pPr>
          </w:p>
        </w:tc>
        <w:tc>
          <w:tcPr>
            <w:tcW w:w="320" w:type="dxa"/>
            <w:vAlign w:val="bottom"/>
            <w:shd w:val="clear" w:color="auto" w:fill="004C97"/>
          </w:tcPr>
          <w:p>
            <w:pPr>
              <w:spacing w:after="0"/>
              <w:rPr>
                <w:sz w:val="16"/>
                <w:szCs w:val="16"/>
                <w:color w:val="auto"/>
              </w:rPr>
            </w:pPr>
          </w:p>
        </w:tc>
        <w:tc>
          <w:tcPr>
            <w:tcW w:w="2280" w:type="dxa"/>
            <w:vAlign w:val="bottom"/>
            <w:gridSpan w:val="3"/>
            <w:shd w:val="clear" w:color="auto" w:fill="004C97"/>
          </w:tcPr>
          <w:p>
            <w:pPr>
              <w:jc w:val="right"/>
              <w:ind w:right="559"/>
              <w:spacing w:after="0"/>
              <w:rPr>
                <w:sz w:val="20"/>
                <w:szCs w:val="20"/>
                <w:color w:val="auto"/>
              </w:rPr>
            </w:pPr>
            <w:r>
              <w:rPr>
                <w:rFonts w:ascii="Arial" w:cs="Arial" w:eastAsia="Arial" w:hAnsi="Arial"/>
                <w:sz w:val="16"/>
                <w:szCs w:val="16"/>
                <w:b w:val="1"/>
                <w:bCs w:val="1"/>
                <w:color w:val="FFFFFF"/>
              </w:rPr>
              <w:t>Per Diluted Share</w:t>
            </w:r>
          </w:p>
        </w:tc>
        <w:tc>
          <w:tcPr>
            <w:tcW w:w="340" w:type="dxa"/>
            <w:vAlign w:val="bottom"/>
            <w:shd w:val="clear" w:color="auto" w:fill="004C97"/>
          </w:tcPr>
          <w:p>
            <w:pPr>
              <w:spacing w:after="0"/>
              <w:rPr>
                <w:sz w:val="16"/>
                <w:szCs w:val="16"/>
                <w:color w:val="auto"/>
              </w:rPr>
            </w:pPr>
          </w:p>
        </w:tc>
        <w:tc>
          <w:tcPr>
            <w:tcW w:w="980" w:type="dxa"/>
            <w:vAlign w:val="bottom"/>
            <w:shd w:val="clear" w:color="auto" w:fill="004C97"/>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188"/>
        </w:trPr>
        <w:tc>
          <w:tcPr>
            <w:tcW w:w="4860" w:type="dxa"/>
            <w:vAlign w:val="bottom"/>
            <w:shd w:val="clear" w:color="auto" w:fill="004C97"/>
          </w:tcPr>
          <w:p>
            <w:pPr>
              <w:spacing w:after="0"/>
              <w:rPr>
                <w:sz w:val="16"/>
                <w:szCs w:val="16"/>
                <w:color w:val="auto"/>
              </w:rPr>
            </w:pPr>
          </w:p>
        </w:tc>
        <w:tc>
          <w:tcPr>
            <w:tcW w:w="320" w:type="dxa"/>
            <w:vAlign w:val="bottom"/>
            <w:shd w:val="clear" w:color="auto" w:fill="004C97"/>
          </w:tcPr>
          <w:p>
            <w:pPr>
              <w:spacing w:after="0"/>
              <w:rPr>
                <w:sz w:val="16"/>
                <w:szCs w:val="16"/>
                <w:color w:val="auto"/>
              </w:rPr>
            </w:pPr>
          </w:p>
        </w:tc>
        <w:tc>
          <w:tcPr>
            <w:tcW w:w="2300" w:type="dxa"/>
            <w:vAlign w:val="bottom"/>
            <w:gridSpan w:val="3"/>
            <w:shd w:val="clear" w:color="auto" w:fill="004C97"/>
          </w:tcPr>
          <w:p>
            <w:pPr>
              <w:jc w:val="right"/>
              <w:ind w:right="459"/>
              <w:spacing w:after="0"/>
              <w:rPr>
                <w:sz w:val="20"/>
                <w:szCs w:val="20"/>
                <w:color w:val="auto"/>
              </w:rPr>
            </w:pPr>
            <w:r>
              <w:rPr>
                <w:rFonts w:ascii="Arial" w:cs="Arial" w:eastAsia="Arial" w:hAnsi="Arial"/>
                <w:sz w:val="16"/>
                <w:szCs w:val="16"/>
                <w:color w:val="FFFFFF"/>
              </w:rPr>
              <w:t>Three Months Ended,</w:t>
            </w:r>
          </w:p>
        </w:tc>
        <w:tc>
          <w:tcPr>
            <w:tcW w:w="320" w:type="dxa"/>
            <w:vAlign w:val="bottom"/>
            <w:shd w:val="clear" w:color="auto" w:fill="004C97"/>
          </w:tcPr>
          <w:p>
            <w:pPr>
              <w:spacing w:after="0"/>
              <w:rPr>
                <w:sz w:val="16"/>
                <w:szCs w:val="16"/>
                <w:color w:val="auto"/>
              </w:rPr>
            </w:pPr>
          </w:p>
        </w:tc>
        <w:tc>
          <w:tcPr>
            <w:tcW w:w="2300" w:type="dxa"/>
            <w:vAlign w:val="bottom"/>
            <w:gridSpan w:val="3"/>
            <w:shd w:val="clear" w:color="auto" w:fill="004C97"/>
          </w:tcPr>
          <w:p>
            <w:pPr>
              <w:jc w:val="right"/>
              <w:ind w:right="499"/>
              <w:spacing w:after="0"/>
              <w:rPr>
                <w:sz w:val="20"/>
                <w:szCs w:val="20"/>
                <w:color w:val="auto"/>
              </w:rPr>
            </w:pPr>
            <w:r>
              <w:rPr>
                <w:rFonts w:ascii="Arial" w:cs="Arial" w:eastAsia="Arial" w:hAnsi="Arial"/>
                <w:sz w:val="16"/>
                <w:szCs w:val="16"/>
                <w:color w:val="FFFFFF"/>
              </w:rPr>
              <w:t>Nine Months Ended,</w:t>
            </w:r>
          </w:p>
        </w:tc>
        <w:tc>
          <w:tcPr>
            <w:tcW w:w="20" w:type="dxa"/>
            <w:vAlign w:val="bottom"/>
          </w:tcPr>
          <w:p>
            <w:pPr>
              <w:spacing w:after="0"/>
              <w:rPr>
                <w:sz w:val="16"/>
                <w:szCs w:val="16"/>
                <w:color w:val="auto"/>
              </w:rPr>
            </w:pPr>
          </w:p>
        </w:tc>
      </w:tr>
      <w:tr>
        <w:trPr>
          <w:trHeight w:val="251"/>
        </w:trPr>
        <w:tc>
          <w:tcPr>
            <w:tcW w:w="4860" w:type="dxa"/>
            <w:vAlign w:val="bottom"/>
            <w:tcBorders>
              <w:bottom w:val="single" w:sz="8" w:color="004C97"/>
            </w:tcBorders>
            <w:shd w:val="clear" w:color="auto" w:fill="004C97"/>
          </w:tcPr>
          <w:p>
            <w:pPr>
              <w:spacing w:after="0"/>
              <w:rPr>
                <w:sz w:val="21"/>
                <w:szCs w:val="21"/>
                <w:color w:val="auto"/>
              </w:rPr>
            </w:pPr>
          </w:p>
        </w:tc>
        <w:tc>
          <w:tcPr>
            <w:tcW w:w="320" w:type="dxa"/>
            <w:vAlign w:val="bottom"/>
            <w:tcBorders>
              <w:bottom w:val="single" w:sz="8" w:color="004C97"/>
            </w:tcBorders>
            <w:shd w:val="clear" w:color="auto" w:fill="004C97"/>
          </w:tcPr>
          <w:p>
            <w:pPr>
              <w:spacing w:after="0"/>
              <w:rPr>
                <w:sz w:val="21"/>
                <w:szCs w:val="21"/>
                <w:color w:val="auto"/>
              </w:rPr>
            </w:pPr>
          </w:p>
        </w:tc>
        <w:tc>
          <w:tcPr>
            <w:tcW w:w="1000" w:type="dxa"/>
            <w:vAlign w:val="bottom"/>
            <w:tcBorders>
              <w:bottom w:val="single" w:sz="8" w:color="004C97"/>
            </w:tcBorders>
            <w:shd w:val="clear" w:color="auto" w:fill="004C97"/>
          </w:tcPr>
          <w:p>
            <w:pPr>
              <w:jc w:val="right"/>
              <w:ind w:right="399"/>
              <w:spacing w:after="0"/>
              <w:rPr>
                <w:sz w:val="20"/>
                <w:szCs w:val="20"/>
                <w:color w:val="auto"/>
              </w:rPr>
            </w:pPr>
            <w:r>
              <w:rPr>
                <w:rFonts w:ascii="Arial" w:cs="Arial" w:eastAsia="Arial" w:hAnsi="Arial"/>
                <w:sz w:val="16"/>
                <w:szCs w:val="16"/>
                <w:color w:val="FFFFFF"/>
              </w:rPr>
              <w:t>3Q26</w:t>
            </w:r>
          </w:p>
        </w:tc>
        <w:tc>
          <w:tcPr>
            <w:tcW w:w="320" w:type="dxa"/>
            <w:vAlign w:val="bottom"/>
            <w:tcBorders>
              <w:bottom w:val="single" w:sz="8" w:color="004C97"/>
            </w:tcBorders>
            <w:shd w:val="clear" w:color="auto" w:fill="004C97"/>
          </w:tcPr>
          <w:p>
            <w:pPr>
              <w:spacing w:after="0"/>
              <w:rPr>
                <w:sz w:val="21"/>
                <w:szCs w:val="21"/>
                <w:color w:val="auto"/>
              </w:rPr>
            </w:pPr>
          </w:p>
        </w:tc>
        <w:tc>
          <w:tcPr>
            <w:tcW w:w="980" w:type="dxa"/>
            <w:vAlign w:val="bottom"/>
            <w:tcBorders>
              <w:bottom w:val="single" w:sz="8" w:color="004C97"/>
            </w:tcBorders>
            <w:shd w:val="clear" w:color="auto" w:fill="004C97"/>
          </w:tcPr>
          <w:p>
            <w:pPr>
              <w:jc w:val="right"/>
              <w:ind w:right="379"/>
              <w:spacing w:after="0"/>
              <w:rPr>
                <w:sz w:val="20"/>
                <w:szCs w:val="20"/>
                <w:color w:val="auto"/>
              </w:rPr>
            </w:pPr>
            <w:r>
              <w:rPr>
                <w:rFonts w:ascii="Arial" w:cs="Arial" w:eastAsia="Arial" w:hAnsi="Arial"/>
                <w:sz w:val="16"/>
                <w:szCs w:val="16"/>
                <w:color w:val="FFFFFF"/>
              </w:rPr>
              <w:t>3Q25</w:t>
            </w:r>
          </w:p>
        </w:tc>
        <w:tc>
          <w:tcPr>
            <w:tcW w:w="320" w:type="dxa"/>
            <w:vAlign w:val="bottom"/>
            <w:tcBorders>
              <w:bottom w:val="single" w:sz="8" w:color="004C97"/>
            </w:tcBorders>
            <w:shd w:val="clear" w:color="auto" w:fill="004C97"/>
          </w:tcPr>
          <w:p>
            <w:pPr>
              <w:spacing w:after="0"/>
              <w:rPr>
                <w:sz w:val="21"/>
                <w:szCs w:val="21"/>
                <w:color w:val="auto"/>
              </w:rPr>
            </w:pPr>
          </w:p>
        </w:tc>
        <w:tc>
          <w:tcPr>
            <w:tcW w:w="980" w:type="dxa"/>
            <w:vAlign w:val="bottom"/>
            <w:tcBorders>
              <w:bottom w:val="single" w:sz="8" w:color="004C97"/>
            </w:tcBorders>
            <w:shd w:val="clear" w:color="auto" w:fill="004C97"/>
          </w:tcPr>
          <w:p>
            <w:pPr>
              <w:jc w:val="right"/>
              <w:ind w:right="379"/>
              <w:spacing w:after="0"/>
              <w:rPr>
                <w:sz w:val="20"/>
                <w:szCs w:val="20"/>
                <w:color w:val="auto"/>
              </w:rPr>
            </w:pPr>
            <w:r>
              <w:rPr>
                <w:rFonts w:ascii="Arial" w:cs="Arial" w:eastAsia="Arial" w:hAnsi="Arial"/>
                <w:sz w:val="16"/>
                <w:szCs w:val="16"/>
                <w:color w:val="FFFFFF"/>
              </w:rPr>
              <w:t>3Q26</w:t>
            </w:r>
          </w:p>
        </w:tc>
        <w:tc>
          <w:tcPr>
            <w:tcW w:w="340" w:type="dxa"/>
            <w:vAlign w:val="bottom"/>
            <w:tcBorders>
              <w:bottom w:val="single" w:sz="8" w:color="004C97"/>
            </w:tcBorders>
            <w:shd w:val="clear" w:color="auto" w:fill="004C97"/>
          </w:tcPr>
          <w:p>
            <w:pPr>
              <w:spacing w:after="0"/>
              <w:rPr>
                <w:sz w:val="21"/>
                <w:szCs w:val="21"/>
                <w:color w:val="auto"/>
              </w:rPr>
            </w:pPr>
          </w:p>
        </w:tc>
        <w:tc>
          <w:tcPr>
            <w:tcW w:w="980" w:type="dxa"/>
            <w:vAlign w:val="bottom"/>
            <w:tcBorders>
              <w:bottom w:val="single" w:sz="8" w:color="004C97"/>
            </w:tcBorders>
            <w:shd w:val="clear" w:color="auto" w:fill="004C97"/>
          </w:tcPr>
          <w:p>
            <w:pPr>
              <w:jc w:val="right"/>
              <w:ind w:right="379"/>
              <w:spacing w:after="0"/>
              <w:rPr>
                <w:sz w:val="20"/>
                <w:szCs w:val="20"/>
                <w:color w:val="auto"/>
              </w:rPr>
            </w:pPr>
            <w:r>
              <w:rPr>
                <w:rFonts w:ascii="Arial" w:cs="Arial" w:eastAsia="Arial" w:hAnsi="Arial"/>
                <w:sz w:val="16"/>
                <w:szCs w:val="16"/>
                <w:color w:val="FFFFFF"/>
              </w:rPr>
              <w:t>3Q25</w:t>
            </w:r>
          </w:p>
        </w:tc>
        <w:tc>
          <w:tcPr>
            <w:tcW w:w="20" w:type="dxa"/>
            <w:vAlign w:val="bottom"/>
          </w:tcPr>
          <w:p>
            <w:pPr>
              <w:spacing w:after="0"/>
              <w:rPr>
                <w:sz w:val="21"/>
                <w:szCs w:val="21"/>
                <w:color w:val="auto"/>
              </w:rPr>
            </w:pPr>
          </w:p>
        </w:tc>
      </w:tr>
      <w:tr>
        <w:trPr>
          <w:trHeight w:val="202"/>
        </w:trPr>
        <w:tc>
          <w:tcPr>
            <w:tcW w:w="4860" w:type="dxa"/>
            <w:vAlign w:val="bottom"/>
          </w:tcPr>
          <w:p>
            <w:pPr>
              <w:ind w:left="100"/>
              <w:spacing w:after="0"/>
              <w:rPr>
                <w:sz w:val="20"/>
                <w:szCs w:val="20"/>
                <w:color w:val="auto"/>
              </w:rPr>
            </w:pPr>
            <w:r>
              <w:rPr>
                <w:rFonts w:ascii="Arial" w:cs="Arial" w:eastAsia="Arial" w:hAnsi="Arial"/>
                <w:sz w:val="16"/>
                <w:szCs w:val="16"/>
                <w:b w:val="1"/>
                <w:bCs w:val="1"/>
                <w:color w:val="auto"/>
              </w:rPr>
              <w:t>Net income (loss) attributable to PFG</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0.95</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6.68</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2.95</w:t>
            </w:r>
          </w:p>
        </w:tc>
        <w:tc>
          <w:tcPr>
            <w:tcW w:w="20" w:type="dxa"/>
            <w:vAlign w:val="bottom"/>
          </w:tcPr>
          <w:p>
            <w:pPr>
              <w:spacing w:after="0"/>
              <w:rPr>
                <w:sz w:val="17"/>
                <w:szCs w:val="17"/>
                <w:color w:val="auto"/>
              </w:rPr>
            </w:pPr>
          </w:p>
        </w:tc>
      </w:tr>
      <w:tr>
        <w:trPr>
          <w:trHeight w:val="224"/>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(Income) loss from exited business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c>
          <w:tcPr>
            <w:tcW w:w="20" w:type="dxa"/>
            <w:vAlign w:val="bottom"/>
          </w:tcPr>
          <w:p>
            <w:pPr>
              <w:spacing w:after="0"/>
              <w:rPr>
                <w:sz w:val="19"/>
                <w:szCs w:val="19"/>
                <w:color w:val="auto"/>
              </w:rPr>
            </w:pPr>
          </w:p>
        </w:tc>
      </w:tr>
      <w:tr>
        <w:trPr>
          <w:trHeight w:val="202"/>
        </w:trPr>
        <w:tc>
          <w:tcPr>
            <w:tcW w:w="4860" w:type="dxa"/>
            <w:vAlign w:val="bottom"/>
          </w:tcPr>
          <w:p>
            <w:pPr>
              <w:ind w:left="100"/>
              <w:spacing w:after="0"/>
              <w:rPr>
                <w:sz w:val="20"/>
                <w:szCs w:val="20"/>
                <w:color w:val="auto"/>
              </w:rPr>
            </w:pPr>
            <w:r>
              <w:rPr>
                <w:rFonts w:ascii="Arial" w:cs="Arial" w:eastAsia="Arial" w:hAnsi="Arial"/>
                <w:sz w:val="16"/>
                <w:szCs w:val="16"/>
                <w:b w:val="1"/>
                <w:bCs w:val="1"/>
                <w:color w:val="auto"/>
              </w:rPr>
              <w:t>Non-GAAP net income (loss) excluding exited business</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1.64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2.06</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5.54</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5.27</w:t>
            </w:r>
          </w:p>
        </w:tc>
        <w:tc>
          <w:tcPr>
            <w:tcW w:w="20" w:type="dxa"/>
            <w:vAlign w:val="bottom"/>
          </w:tcPr>
          <w:p>
            <w:pPr>
              <w:spacing w:after="0"/>
              <w:rPr>
                <w:sz w:val="17"/>
                <w:szCs w:val="17"/>
                <w:color w:val="auto"/>
              </w:rPr>
            </w:pPr>
          </w:p>
        </w:tc>
      </w:tr>
      <w:tr>
        <w:trPr>
          <w:trHeight w:val="215"/>
        </w:trPr>
        <w:tc>
          <w:tcPr>
            <w:tcW w:w="4860" w:type="dxa"/>
            <w:vAlign w:val="bottom"/>
          </w:tcPr>
          <w:p>
            <w:pPr>
              <w:ind w:left="100"/>
              <w:spacing w:after="0"/>
              <w:rPr>
                <w:sz w:val="20"/>
                <w:szCs w:val="20"/>
                <w:color w:val="auto"/>
              </w:rPr>
            </w:pPr>
            <w:r>
              <w:rPr>
                <w:rFonts w:ascii="Arial" w:cs="Arial" w:eastAsia="Arial" w:hAnsi="Arial"/>
                <w:sz w:val="16"/>
                <w:szCs w:val="16"/>
                <w:color w:val="auto"/>
              </w:rPr>
              <w:t>Net realized capital (gains) losses, as adjusted</w:t>
            </w:r>
          </w:p>
        </w:tc>
        <w:tc>
          <w:tcPr>
            <w:tcW w:w="3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20" w:type="dxa"/>
            <w:vAlign w:val="bottom"/>
          </w:tcPr>
          <w:p>
            <w:pPr>
              <w:spacing w:after="0"/>
              <w:rPr>
                <w:sz w:val="18"/>
                <w:szCs w:val="18"/>
                <w:color w:val="auto"/>
              </w:rPr>
            </w:pPr>
          </w:p>
        </w:tc>
      </w:tr>
      <w:tr>
        <w:trPr>
          <w:trHeight w:val="225"/>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Actuarial assumption review</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9"/>
                <w:szCs w:val="19"/>
                <w:color w:val="auto"/>
              </w:rPr>
            </w:pPr>
          </w:p>
        </w:tc>
      </w:tr>
      <w:tr>
        <w:trPr>
          <w:trHeight w:val="216"/>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Non-GAAP Operating Earnings</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6.07</w:t>
            </w:r>
          </w:p>
        </w:tc>
        <w:tc>
          <w:tcPr>
            <w:tcW w:w="20" w:type="dxa"/>
            <w:vAlign w:val="bottom"/>
          </w:tcPr>
          <w:p>
            <w:pPr>
              <w:spacing w:after="0"/>
              <w:rPr>
                <w:sz w:val="18"/>
                <w:szCs w:val="18"/>
                <w:color w:val="auto"/>
              </w:rPr>
            </w:pPr>
          </w:p>
        </w:tc>
      </w:tr>
      <w:tr>
        <w:trPr>
          <w:trHeight w:val="250"/>
        </w:trPr>
        <w:tc>
          <w:tcPr>
            <w:tcW w:w="486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16"/>
                <w:szCs w:val="16"/>
                <w:color w:val="auto"/>
              </w:rPr>
              <w:t>Impact of significant variances</w:t>
            </w:r>
            <w:r>
              <w:rPr>
                <w:rFonts w:ascii="Arial" w:cs="Arial" w:eastAsia="Arial" w:hAnsi="Arial"/>
                <w:sz w:val="26"/>
                <w:szCs w:val="26"/>
                <w:color w:val="auto"/>
                <w:vertAlign w:val="superscript"/>
              </w:rPr>
              <w:t>15</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0.27</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0.22</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0.29</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20" w:type="dxa"/>
            <w:vAlign w:val="bottom"/>
          </w:tcPr>
          <w:p>
            <w:pPr>
              <w:spacing w:after="0"/>
              <w:rPr>
                <w:sz w:val="21"/>
                <w:szCs w:val="21"/>
                <w:color w:val="auto"/>
              </w:rPr>
            </w:pPr>
          </w:p>
        </w:tc>
      </w:tr>
      <w:tr>
        <w:trPr>
          <w:trHeight w:val="168"/>
        </w:trPr>
        <w:tc>
          <w:tcPr>
            <w:tcW w:w="486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Non-GAAP Operating Earnings, excluding significant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6"/>
        </w:trPr>
        <w:tc>
          <w:tcPr>
            <w:tcW w:w="48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variances</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7.08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6.31</w:t>
            </w:r>
          </w:p>
        </w:tc>
        <w:tc>
          <w:tcPr>
            <w:tcW w:w="20" w:type="dxa"/>
            <w:vAlign w:val="bottom"/>
          </w:tcPr>
          <w:p>
            <w:pPr>
              <w:spacing w:after="0"/>
              <w:rPr>
                <w:sz w:val="19"/>
                <w:szCs w:val="19"/>
                <w:color w:val="auto"/>
              </w:rPr>
            </w:pPr>
          </w:p>
        </w:tc>
      </w:tr>
      <w:tr>
        <w:trPr>
          <w:trHeight w:val="172"/>
        </w:trPr>
        <w:tc>
          <w:tcPr>
            <w:tcW w:w="4860" w:type="dxa"/>
            <w:vAlign w:val="bottom"/>
          </w:tcPr>
          <w:p>
            <w:pPr>
              <w:ind w:left="80"/>
              <w:spacing w:after="0" w:line="172" w:lineRule="exact"/>
              <w:rPr>
                <w:sz w:val="20"/>
                <w:szCs w:val="20"/>
                <w:color w:val="auto"/>
              </w:rPr>
            </w:pPr>
            <w:r>
              <w:rPr>
                <w:rFonts w:ascii="Arial" w:cs="Arial" w:eastAsia="Arial" w:hAnsi="Arial"/>
                <w:sz w:val="16"/>
                <w:szCs w:val="16"/>
                <w:b w:val="1"/>
                <w:bCs w:val="1"/>
                <w:color w:val="auto"/>
              </w:rPr>
              <w:t xml:space="preserve">Weighted-average diluted common shares outstanding </w:t>
            </w:r>
            <w:r>
              <w:rPr>
                <w:rFonts w:ascii="Arial" w:cs="Arial" w:eastAsia="Arial" w:hAnsi="Arial"/>
                <w:sz w:val="16"/>
                <w:szCs w:val="16"/>
                <w:color w:val="auto"/>
              </w:rPr>
              <w:t>(in</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6"/>
        </w:trPr>
        <w:tc>
          <w:tcPr>
            <w:tcW w:w="48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216.9</w:t>
            </w:r>
          </w:p>
        </w:tc>
        <w:tc>
          <w:tcPr>
            <w:tcW w:w="3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225.2</w:t>
            </w:r>
          </w:p>
        </w:tc>
        <w:tc>
          <w:tcPr>
            <w:tcW w:w="32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218.6</w:t>
            </w:r>
          </w:p>
        </w:tc>
        <w:tc>
          <w:tcPr>
            <w:tcW w:w="3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226.8</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GAAP (GAAP) net income attributable to PFG versus non-GAAP operating earnings</w:t>
      </w:r>
    </w:p>
    <w:p>
      <w:pPr>
        <w:spacing w:after="0" w:line="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Management uses non-GAAP operating earnings, which is a financial measure that excludes the effect of net realized capital gains and losses, as adjusted; income (loss) from exited business; actuarial assumption review impacts (beginning third quarter 2026); and other after-tax adjustments the company believes are not indicative of overall operating trends, for goal setting, as a basis for determining employee and senior management awards and compensation and evaluating performance on a basis comparable to that used by investors and securities analysts. Note: it is possible these adjusting items have occurred in the past and could recur in future reporting periods. While these items may be significant components in understanding and assessing our consolidated financial performance, management believes the presentation of non-GAAP operating earnings enhances the understanding of results of operations by highlighting earnings attributable to the normal, ongoing operations of the company’s businesses.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Pr>
          <w:p>
            <w:pPr>
              <w:spacing w:after="0"/>
              <w:rPr>
                <w:sz w:val="20"/>
                <w:szCs w:val="20"/>
                <w:color w:val="auto"/>
              </w:rPr>
            </w:pPr>
            <w:r>
              <w:rPr>
                <w:rFonts w:ascii="Arial" w:cs="Arial" w:eastAsia="Arial" w:hAnsi="Arial"/>
                <w:sz w:val="16"/>
                <w:szCs w:val="16"/>
                <w:b w:val="1"/>
                <w:bCs w:val="1"/>
                <w:color w:val="auto"/>
              </w:rPr>
              <w:t>Selected Balance Sheet Statistics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0"/>
        </w:trPr>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3"/>
          </w:tcPr>
          <w:p>
            <w:pPr>
              <w:spacing w:after="0"/>
              <w:rPr>
                <w:sz w:val="14"/>
                <w:szCs w:val="14"/>
                <w:color w:val="auto"/>
              </w:rPr>
            </w:pPr>
          </w:p>
        </w:tc>
      </w:tr>
      <w:tr>
        <w:trPr>
          <w:trHeight w:val="215"/>
        </w:trPr>
        <w:tc>
          <w:tcPr>
            <w:tcW w:w="8360" w:type="dxa"/>
            <w:vAlign w:val="bottom"/>
            <w:shd w:val="clear" w:color="auto" w:fill="004C97"/>
          </w:tcPr>
          <w:p>
            <w:pPr>
              <w:spacing w:after="0"/>
              <w:rPr>
                <w:sz w:val="18"/>
                <w:szCs w:val="18"/>
                <w:color w:val="auto"/>
              </w:rPr>
            </w:pPr>
          </w:p>
        </w:tc>
        <w:tc>
          <w:tcPr>
            <w:tcW w:w="320" w:type="dxa"/>
            <w:vAlign w:val="bottom"/>
            <w:shd w:val="clear" w:color="auto" w:fill="004C97"/>
          </w:tcPr>
          <w:p>
            <w:pPr>
              <w:spacing w:after="0"/>
              <w:rPr>
                <w:sz w:val="18"/>
                <w:szCs w:val="18"/>
                <w:color w:val="auto"/>
              </w:rPr>
            </w:pPr>
          </w:p>
        </w:tc>
        <w:tc>
          <w:tcPr>
            <w:tcW w:w="2000" w:type="dxa"/>
            <w:vAlign w:val="bottom"/>
            <w:gridSpan w:val="3"/>
            <w:shd w:val="clear" w:color="auto" w:fill="004C97"/>
          </w:tcPr>
          <w:p>
            <w:pPr>
              <w:jc w:val="right"/>
              <w:ind w:right="559"/>
              <w:spacing w:after="0"/>
              <w:rPr>
                <w:sz w:val="20"/>
                <w:szCs w:val="20"/>
                <w:color w:val="auto"/>
              </w:rPr>
            </w:pPr>
            <w:r>
              <w:rPr>
                <w:rFonts w:ascii="Arial" w:cs="Arial" w:eastAsia="Arial" w:hAnsi="Arial"/>
                <w:sz w:val="16"/>
                <w:szCs w:val="16"/>
                <w:color w:val="FFFFFF"/>
              </w:rPr>
              <w:t>Period Ended,</w:t>
            </w:r>
          </w:p>
        </w:tc>
      </w:tr>
      <w:tr>
        <w:trPr>
          <w:trHeight w:val="251"/>
        </w:trPr>
        <w:tc>
          <w:tcPr>
            <w:tcW w:w="8360" w:type="dxa"/>
            <w:vAlign w:val="bottom"/>
            <w:tcBorders>
              <w:bottom w:val="single" w:sz="8" w:color="004C97"/>
            </w:tcBorders>
            <w:shd w:val="clear" w:color="auto" w:fill="004C97"/>
          </w:tcPr>
          <w:p>
            <w:pPr>
              <w:spacing w:after="0"/>
              <w:rPr>
                <w:sz w:val="21"/>
                <w:szCs w:val="21"/>
                <w:color w:val="auto"/>
              </w:rPr>
            </w:pPr>
          </w:p>
        </w:tc>
        <w:tc>
          <w:tcPr>
            <w:tcW w:w="320" w:type="dxa"/>
            <w:vAlign w:val="bottom"/>
            <w:tcBorders>
              <w:bottom w:val="single" w:sz="8" w:color="004C97"/>
            </w:tcBorders>
            <w:shd w:val="clear" w:color="auto" w:fill="004C97"/>
          </w:tcPr>
          <w:p>
            <w:pPr>
              <w:spacing w:after="0"/>
              <w:rPr>
                <w:sz w:val="21"/>
                <w:szCs w:val="21"/>
                <w:color w:val="auto"/>
              </w:rPr>
            </w:pPr>
          </w:p>
        </w:tc>
        <w:tc>
          <w:tcPr>
            <w:tcW w:w="860" w:type="dxa"/>
            <w:vAlign w:val="bottom"/>
            <w:tcBorders>
              <w:bottom w:val="single" w:sz="8" w:color="004C97"/>
            </w:tcBorders>
            <w:shd w:val="clear" w:color="auto" w:fill="004C97"/>
          </w:tcPr>
          <w:p>
            <w:pPr>
              <w:jc w:val="right"/>
              <w:ind w:right="299"/>
              <w:spacing w:after="0"/>
              <w:rPr>
                <w:sz w:val="20"/>
                <w:szCs w:val="20"/>
                <w:color w:val="auto"/>
              </w:rPr>
            </w:pPr>
            <w:r>
              <w:rPr>
                <w:rFonts w:ascii="Arial" w:cs="Arial" w:eastAsia="Arial" w:hAnsi="Arial"/>
                <w:sz w:val="16"/>
                <w:szCs w:val="16"/>
                <w:color w:val="FFFFFF"/>
              </w:rPr>
              <w:t>3Q26</w:t>
            </w:r>
          </w:p>
        </w:tc>
        <w:tc>
          <w:tcPr>
            <w:tcW w:w="280" w:type="dxa"/>
            <w:vAlign w:val="bottom"/>
            <w:tcBorders>
              <w:bottom w:val="single" w:sz="8" w:color="004C97"/>
            </w:tcBorders>
            <w:shd w:val="clear" w:color="auto" w:fill="004C97"/>
          </w:tcPr>
          <w:p>
            <w:pPr>
              <w:spacing w:after="0"/>
              <w:rPr>
                <w:sz w:val="21"/>
                <w:szCs w:val="21"/>
                <w:color w:val="auto"/>
              </w:rPr>
            </w:pPr>
          </w:p>
        </w:tc>
        <w:tc>
          <w:tcPr>
            <w:tcW w:w="860" w:type="dxa"/>
            <w:vAlign w:val="bottom"/>
            <w:tcBorders>
              <w:bottom w:val="single" w:sz="8" w:color="004C97"/>
            </w:tcBorders>
            <w:shd w:val="clear" w:color="auto" w:fill="004C97"/>
          </w:tcPr>
          <w:p>
            <w:pPr>
              <w:jc w:val="right"/>
              <w:ind w:right="299"/>
              <w:spacing w:after="0"/>
              <w:rPr>
                <w:sz w:val="20"/>
                <w:szCs w:val="20"/>
                <w:color w:val="auto"/>
              </w:rPr>
            </w:pPr>
            <w:r>
              <w:rPr>
                <w:rFonts w:ascii="Arial" w:cs="Arial" w:eastAsia="Arial" w:hAnsi="Arial"/>
                <w:sz w:val="16"/>
                <w:szCs w:val="16"/>
                <w:color w:val="FFFFFF"/>
              </w:rPr>
              <w:t>4Q25</w:t>
            </w:r>
          </w:p>
        </w:tc>
      </w:tr>
      <w:tr>
        <w:trPr>
          <w:trHeight w:val="229"/>
        </w:trPr>
        <w:tc>
          <w:tcPr>
            <w:tcW w:w="8360" w:type="dxa"/>
            <w:vAlign w:val="bottom"/>
          </w:tcPr>
          <w:p>
            <w:pPr>
              <w:ind w:left="100"/>
              <w:spacing w:after="0"/>
              <w:rPr>
                <w:sz w:val="20"/>
                <w:szCs w:val="20"/>
                <w:color w:val="auto"/>
              </w:rPr>
            </w:pPr>
            <w:r>
              <w:rPr>
                <w:rFonts w:ascii="Arial" w:cs="Arial" w:eastAsia="Arial" w:hAnsi="Arial"/>
                <w:sz w:val="16"/>
                <w:szCs w:val="16"/>
                <w:color w:val="auto"/>
              </w:rPr>
              <w:t>Total assets (in billions)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341.4</w:t>
            </w:r>
          </w:p>
        </w:tc>
      </w:tr>
      <w:tr>
        <w:trPr>
          <w:trHeight w:val="189"/>
        </w:trPr>
        <w:tc>
          <w:tcPr>
            <w:tcW w:w="8360" w:type="dxa"/>
            <w:vAlign w:val="bottom"/>
          </w:tcPr>
          <w:p>
            <w:pPr>
              <w:ind w:left="100"/>
              <w:spacing w:after="0"/>
              <w:rPr>
                <w:sz w:val="20"/>
                <w:szCs w:val="20"/>
                <w:color w:val="auto"/>
              </w:rPr>
            </w:pPr>
            <w:r>
              <w:rPr>
                <w:rFonts w:ascii="Arial" w:cs="Arial" w:eastAsia="Arial" w:hAnsi="Arial"/>
                <w:sz w:val="16"/>
                <w:szCs w:val="16"/>
                <w:color w:val="auto"/>
              </w:rPr>
              <w:t>Stockholders’ equity (in millions)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11,850.3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11,917.0</w:t>
            </w:r>
          </w:p>
        </w:tc>
      </w:tr>
      <w:tr>
        <w:trPr>
          <w:trHeight w:val="189"/>
        </w:trPr>
        <w:tc>
          <w:tcPr>
            <w:tcW w:w="8360" w:type="dxa"/>
            <w:vAlign w:val="bottom"/>
          </w:tcPr>
          <w:p>
            <w:pPr>
              <w:ind w:left="100"/>
              <w:spacing w:after="0"/>
              <w:rPr>
                <w:sz w:val="20"/>
                <w:szCs w:val="20"/>
                <w:color w:val="auto"/>
              </w:rPr>
            </w:pPr>
            <w:r>
              <w:rPr>
                <w:rFonts w:ascii="Arial" w:cs="Arial" w:eastAsia="Arial" w:hAnsi="Arial"/>
                <w:sz w:val="16"/>
                <w:szCs w:val="16"/>
                <w:color w:val="auto"/>
              </w:rPr>
              <w:t>Stockholders’ equity available to common stockholders (in millions)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11,816.3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11,883.9</w:t>
            </w:r>
          </w:p>
        </w:tc>
      </w:tr>
      <w:tr>
        <w:trPr>
          <w:trHeight w:val="189"/>
        </w:trPr>
        <w:tc>
          <w:tcPr>
            <w:tcW w:w="8360" w:type="dxa"/>
            <w:vAlign w:val="bottom"/>
          </w:tcPr>
          <w:p>
            <w:pPr>
              <w:ind w:left="100"/>
              <w:spacing w:after="0"/>
              <w:rPr>
                <w:sz w:val="20"/>
                <w:szCs w:val="20"/>
                <w:color w:val="auto"/>
              </w:rPr>
            </w:pPr>
            <w:r>
              <w:rPr>
                <w:rFonts w:ascii="Arial" w:cs="Arial" w:eastAsia="Arial" w:hAnsi="Arial"/>
                <w:sz w:val="16"/>
                <w:szCs w:val="16"/>
                <w:color w:val="auto"/>
              </w:rPr>
              <w:t>Non-GAAP stockholders’ equity, excluding cumulative change in fair value of funds withheld embedded derivative</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360" w:type="dxa"/>
            <w:vAlign w:val="bottom"/>
          </w:tcPr>
          <w:p>
            <w:pPr>
              <w:ind w:left="420"/>
              <w:spacing w:after="0"/>
              <w:rPr>
                <w:sz w:val="20"/>
                <w:szCs w:val="20"/>
                <w:color w:val="auto"/>
              </w:rPr>
            </w:pPr>
            <w:r>
              <w:rPr>
                <w:rFonts w:ascii="Arial" w:cs="Arial" w:eastAsia="Arial" w:hAnsi="Arial"/>
                <w:sz w:val="16"/>
                <w:szCs w:val="16"/>
                <w:color w:val="auto"/>
              </w:rPr>
              <w:t>and accumulated other comprehensive income (AOCI) other than foreign currency translation adjustment,</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360" w:type="dxa"/>
            <w:vAlign w:val="bottom"/>
          </w:tcPr>
          <w:p>
            <w:pPr>
              <w:ind w:left="420"/>
              <w:spacing w:after="0"/>
              <w:rPr>
                <w:sz w:val="20"/>
                <w:szCs w:val="20"/>
                <w:color w:val="auto"/>
              </w:rPr>
            </w:pPr>
            <w:r>
              <w:rPr>
                <w:rFonts w:ascii="Arial" w:cs="Arial" w:eastAsia="Arial" w:hAnsi="Arial"/>
                <w:sz w:val="16"/>
                <w:szCs w:val="16"/>
                <w:color w:val="auto"/>
              </w:rPr>
              <w:t>available to common stockholders (in millions)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12,264.1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12,445.5</w:t>
            </w:r>
          </w:p>
        </w:tc>
      </w:tr>
      <w:tr>
        <w:trPr>
          <w:trHeight w:val="189"/>
        </w:trPr>
        <w:tc>
          <w:tcPr>
            <w:tcW w:w="8360" w:type="dxa"/>
            <w:vAlign w:val="bottom"/>
          </w:tcPr>
          <w:p>
            <w:pPr>
              <w:ind w:left="100"/>
              <w:spacing w:after="0"/>
              <w:rPr>
                <w:sz w:val="20"/>
                <w:szCs w:val="20"/>
                <w:color w:val="auto"/>
              </w:rPr>
            </w:pPr>
            <w:r>
              <w:rPr>
                <w:rFonts w:ascii="Arial" w:cs="Arial" w:eastAsia="Arial" w:hAnsi="Arial"/>
                <w:sz w:val="16"/>
                <w:szCs w:val="16"/>
                <w:color w:val="auto"/>
              </w:rPr>
              <w:t>End of period common shares outstanding (in millions)</w:t>
            </w:r>
          </w:p>
        </w:tc>
        <w:tc>
          <w:tcPr>
            <w:tcW w:w="32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212.8</w:t>
            </w: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217.4</w:t>
            </w:r>
          </w:p>
        </w:tc>
      </w:tr>
      <w:tr>
        <w:trPr>
          <w:trHeight w:val="189"/>
        </w:trPr>
        <w:tc>
          <w:tcPr>
            <w:tcW w:w="8360" w:type="dxa"/>
            <w:vAlign w:val="bottom"/>
          </w:tcPr>
          <w:p>
            <w:pPr>
              <w:ind w:left="100"/>
              <w:spacing w:after="0"/>
              <w:rPr>
                <w:sz w:val="20"/>
                <w:szCs w:val="20"/>
                <w:color w:val="auto"/>
              </w:rPr>
            </w:pPr>
            <w:r>
              <w:rPr>
                <w:rFonts w:ascii="Arial" w:cs="Arial" w:eastAsia="Arial" w:hAnsi="Arial"/>
                <w:sz w:val="16"/>
                <w:szCs w:val="16"/>
                <w:color w:val="auto"/>
              </w:rPr>
              <w:t>Book value per common share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55.53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54.66</w:t>
            </w:r>
          </w:p>
        </w:tc>
      </w:tr>
      <w:tr>
        <w:trPr>
          <w:trHeight w:val="189"/>
        </w:trPr>
        <w:tc>
          <w:tcPr>
            <w:tcW w:w="8360" w:type="dxa"/>
            <w:vAlign w:val="bottom"/>
          </w:tcPr>
          <w:p>
            <w:pPr>
              <w:ind w:left="100"/>
              <w:spacing w:after="0"/>
              <w:rPr>
                <w:sz w:val="20"/>
                <w:szCs w:val="20"/>
                <w:color w:val="auto"/>
              </w:rPr>
            </w:pPr>
            <w:r>
              <w:rPr>
                <w:rFonts w:ascii="Arial" w:cs="Arial" w:eastAsia="Arial" w:hAnsi="Arial"/>
                <w:sz w:val="16"/>
                <w:szCs w:val="16"/>
                <w:color w:val="auto"/>
              </w:rPr>
              <w:t>Non-GAAP book value per common share excluding cumulative change in fair value of funds withheld embedded</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5"/>
        </w:trPr>
        <w:tc>
          <w:tcPr>
            <w:tcW w:w="8360" w:type="dxa"/>
            <w:vAlign w:val="bottom"/>
          </w:tcPr>
          <w:p>
            <w:pPr>
              <w:ind w:left="420"/>
              <w:spacing w:after="0"/>
              <w:rPr>
                <w:sz w:val="20"/>
                <w:szCs w:val="20"/>
                <w:color w:val="auto"/>
              </w:rPr>
            </w:pPr>
            <w:r>
              <w:rPr>
                <w:rFonts w:ascii="Arial" w:cs="Arial" w:eastAsia="Arial" w:hAnsi="Arial"/>
                <w:sz w:val="16"/>
                <w:szCs w:val="16"/>
                <w:color w:val="auto"/>
              </w:rPr>
              <w:t>derivative and AOCI other than foreign currency translation adjustment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8"/>
        <w:spacing w:after="0" w:line="210" w:lineRule="auto"/>
        <w:tabs>
          <w:tab w:leader="none" w:pos="173" w:val="left"/>
        </w:tabs>
        <w:numPr>
          <w:ilvl w:val="0"/>
          <w:numId w:val="22"/>
        </w:numPr>
        <w:rPr>
          <w:rFonts w:ascii="Arial" w:cs="Arial" w:eastAsia="Arial" w:hAnsi="Arial"/>
          <w:sz w:val="22"/>
          <w:szCs w:val="22"/>
          <w:color w:val="auto"/>
          <w:vertAlign w:val="superscript"/>
        </w:rPr>
      </w:pPr>
      <w:r>
        <w:rPr>
          <w:rFonts w:ascii="Arial" w:cs="Arial" w:eastAsia="Arial" w:hAnsi="Arial"/>
          <w:sz w:val="13"/>
          <w:szCs w:val="13"/>
          <w:color w:val="auto"/>
        </w:rPr>
        <w:t>See Exhibit 1 for details on the impact of 3Q 2026 and 3Q 2025 significant variances on net income attributable to PFG; non-GAAP net income attributable to PFG, excluding exited business; and non-GAAP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Principal Financial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U.S. GAAP to Non-GAAP Financial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as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shd w:val="clear" w:color="auto" w:fill="004C97"/>
          </w:tcPr>
          <w:p>
            <w:pPr>
              <w:spacing w:after="0"/>
              <w:rPr>
                <w:sz w:val="19"/>
                <w:szCs w:val="19"/>
                <w:color w:val="auto"/>
              </w:rPr>
            </w:pPr>
          </w:p>
        </w:tc>
        <w:tc>
          <w:tcPr>
            <w:tcW w:w="300" w:type="dxa"/>
            <w:vAlign w:val="bottom"/>
            <w:shd w:val="clear" w:color="auto" w:fill="004C97"/>
          </w:tcPr>
          <w:p>
            <w:pPr>
              <w:spacing w:after="0"/>
              <w:rPr>
                <w:sz w:val="19"/>
                <w:szCs w:val="19"/>
                <w:color w:val="auto"/>
              </w:rPr>
            </w:pPr>
          </w:p>
        </w:tc>
        <w:tc>
          <w:tcPr>
            <w:tcW w:w="2020" w:type="dxa"/>
            <w:vAlign w:val="bottom"/>
            <w:gridSpan w:val="3"/>
            <w:shd w:val="clear" w:color="auto" w:fill="004C97"/>
          </w:tcPr>
          <w:p>
            <w:pPr>
              <w:jc w:val="right"/>
              <w:ind w:right="559"/>
              <w:spacing w:after="0"/>
              <w:rPr>
                <w:sz w:val="20"/>
                <w:szCs w:val="20"/>
                <w:color w:val="auto"/>
              </w:rPr>
            </w:pPr>
            <w:r>
              <w:rPr>
                <w:rFonts w:ascii="Arial" w:cs="Arial" w:eastAsia="Arial" w:hAnsi="Arial"/>
                <w:sz w:val="16"/>
                <w:szCs w:val="16"/>
                <w:color w:val="FFFFFF"/>
              </w:rPr>
              <w:t>Period Ended,</w:t>
            </w:r>
          </w:p>
        </w:tc>
      </w:tr>
      <w:tr>
        <w:trPr>
          <w:trHeight w:val="236"/>
        </w:trPr>
        <w:tc>
          <w:tcPr>
            <w:tcW w:w="8920" w:type="dxa"/>
            <w:vAlign w:val="bottom"/>
            <w:tcBorders>
              <w:bottom w:val="single" w:sz="8" w:color="004C97"/>
            </w:tcBorders>
            <w:shd w:val="clear" w:color="auto" w:fill="004C97"/>
          </w:tcPr>
          <w:p>
            <w:pPr>
              <w:spacing w:after="0"/>
              <w:rPr>
                <w:sz w:val="20"/>
                <w:szCs w:val="20"/>
                <w:color w:val="auto"/>
              </w:rPr>
            </w:pPr>
          </w:p>
        </w:tc>
        <w:tc>
          <w:tcPr>
            <w:tcW w:w="300" w:type="dxa"/>
            <w:vAlign w:val="bottom"/>
            <w:tcBorders>
              <w:bottom w:val="single" w:sz="8" w:color="004C97"/>
            </w:tcBorders>
            <w:shd w:val="clear" w:color="auto" w:fill="004C97"/>
          </w:tcPr>
          <w:p>
            <w:pPr>
              <w:spacing w:after="0"/>
              <w:rPr>
                <w:sz w:val="20"/>
                <w:szCs w:val="20"/>
                <w:color w:val="auto"/>
              </w:rPr>
            </w:pPr>
          </w:p>
        </w:tc>
        <w:tc>
          <w:tcPr>
            <w:tcW w:w="880" w:type="dxa"/>
            <w:vAlign w:val="bottom"/>
            <w:tcBorders>
              <w:bottom w:val="single" w:sz="8" w:color="004C97"/>
            </w:tcBorders>
            <w:shd w:val="clear" w:color="auto" w:fill="004C97"/>
          </w:tcPr>
          <w:p>
            <w:pPr>
              <w:jc w:val="right"/>
              <w:ind w:right="319"/>
              <w:spacing w:after="0"/>
              <w:rPr>
                <w:sz w:val="20"/>
                <w:szCs w:val="20"/>
                <w:color w:val="auto"/>
              </w:rPr>
            </w:pPr>
            <w:r>
              <w:rPr>
                <w:rFonts w:ascii="Arial" w:cs="Arial" w:eastAsia="Arial" w:hAnsi="Arial"/>
                <w:sz w:val="16"/>
                <w:szCs w:val="16"/>
                <w:color w:val="FFFFFF"/>
              </w:rPr>
              <w:t>3Q26</w:t>
            </w:r>
          </w:p>
        </w:tc>
        <w:tc>
          <w:tcPr>
            <w:tcW w:w="280" w:type="dxa"/>
            <w:vAlign w:val="bottom"/>
            <w:tcBorders>
              <w:bottom w:val="single" w:sz="8" w:color="004C97"/>
            </w:tcBorders>
            <w:shd w:val="clear" w:color="auto" w:fill="004C97"/>
          </w:tcPr>
          <w:p>
            <w:pPr>
              <w:spacing w:after="0"/>
              <w:rPr>
                <w:sz w:val="20"/>
                <w:szCs w:val="20"/>
                <w:color w:val="auto"/>
              </w:rPr>
            </w:pPr>
          </w:p>
        </w:tc>
        <w:tc>
          <w:tcPr>
            <w:tcW w:w="860" w:type="dxa"/>
            <w:vAlign w:val="bottom"/>
            <w:tcBorders>
              <w:bottom w:val="single" w:sz="8" w:color="004C97"/>
            </w:tcBorders>
            <w:shd w:val="clear" w:color="auto" w:fill="004C97"/>
          </w:tcPr>
          <w:p>
            <w:pPr>
              <w:jc w:val="right"/>
              <w:ind w:right="299"/>
              <w:spacing w:after="0"/>
              <w:rPr>
                <w:sz w:val="20"/>
                <w:szCs w:val="20"/>
                <w:color w:val="auto"/>
              </w:rPr>
            </w:pPr>
            <w:r>
              <w:rPr>
                <w:rFonts w:ascii="Arial" w:cs="Arial" w:eastAsia="Arial" w:hAnsi="Arial"/>
                <w:sz w:val="16"/>
                <w:szCs w:val="16"/>
                <w:color w:val="FFFFFF"/>
              </w:rPr>
              <w:t>4Q25</w:t>
            </w:r>
          </w:p>
        </w:tc>
      </w:tr>
      <w:tr>
        <w:trPr>
          <w:trHeight w:val="229"/>
        </w:trPr>
        <w:tc>
          <w:tcPr>
            <w:tcW w:w="8920" w:type="dxa"/>
            <w:vAlign w:val="bottom"/>
          </w:tcPr>
          <w:p>
            <w:pPr>
              <w:ind w:left="100"/>
              <w:spacing w:after="0"/>
              <w:rPr>
                <w:sz w:val="20"/>
                <w:szCs w:val="20"/>
                <w:color w:val="auto"/>
              </w:rPr>
            </w:pPr>
            <w:r>
              <w:rPr>
                <w:rFonts w:ascii="Arial" w:cs="Arial" w:eastAsia="Arial" w:hAnsi="Arial"/>
                <w:sz w:val="16"/>
                <w:szCs w:val="16"/>
                <w:b w:val="1"/>
                <w:bCs w:val="1"/>
                <w:color w:val="auto"/>
              </w:rPr>
              <w:t>Non-GAAP Stockholders’ Equity, Excluding Cumulative Change in Fair Value of Funds Withheld Embedded</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9"/>
        </w:trPr>
        <w:tc>
          <w:tcPr>
            <w:tcW w:w="8920" w:type="dxa"/>
            <w:vAlign w:val="bottom"/>
          </w:tcPr>
          <w:p>
            <w:pPr>
              <w:ind w:left="420"/>
              <w:spacing w:after="0"/>
              <w:rPr>
                <w:sz w:val="20"/>
                <w:szCs w:val="20"/>
                <w:color w:val="auto"/>
              </w:rPr>
            </w:pPr>
            <w:r>
              <w:rPr>
                <w:rFonts w:ascii="Arial" w:cs="Arial" w:eastAsia="Arial" w:hAnsi="Arial"/>
                <w:sz w:val="16"/>
                <w:szCs w:val="16"/>
                <w:b w:val="1"/>
                <w:bCs w:val="1"/>
                <w:color w:val="auto"/>
              </w:rPr>
              <w:t>Derivative and AOCI Other Than Foreign Currency Translation Adjustment, Available to Common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920" w:type="dxa"/>
            <w:vAlign w:val="bottom"/>
          </w:tcPr>
          <w:p>
            <w:pPr>
              <w:ind w:left="42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920" w:type="dxa"/>
            <w:vAlign w:val="bottom"/>
          </w:tcPr>
          <w:p>
            <w:pPr>
              <w:ind w:left="10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11,850.3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11,917.0</w:t>
            </w:r>
          </w:p>
        </w:tc>
      </w:tr>
      <w:tr>
        <w:trPr>
          <w:trHeight w:val="203"/>
        </w:trPr>
        <w:tc>
          <w:tcPr>
            <w:tcW w:w="8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(34.0)</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w:t>
            </w:r>
          </w:p>
        </w:tc>
      </w:tr>
      <w:tr>
        <w:trPr>
          <w:trHeight w:val="168"/>
        </w:trPr>
        <w:tc>
          <w:tcPr>
            <w:tcW w:w="8920" w:type="dxa"/>
            <w:vAlign w:val="bottom"/>
          </w:tcPr>
          <w:p>
            <w:pPr>
              <w:ind w:left="100"/>
              <w:spacing w:after="0" w:line="168" w:lineRule="exact"/>
              <w:rPr>
                <w:sz w:val="20"/>
                <w:szCs w:val="20"/>
                <w:color w:val="auto"/>
              </w:rPr>
            </w:pPr>
            <w:r>
              <w:rPr>
                <w:rFonts w:ascii="Arial" w:cs="Arial" w:eastAsia="Arial" w:hAnsi="Arial"/>
                <w:sz w:val="16"/>
                <w:szCs w:val="16"/>
                <w:color w:val="auto"/>
              </w:rPr>
              <w:t>Stockholders’ equity available to common stockholders</w:t>
            </w:r>
          </w:p>
        </w:tc>
        <w:tc>
          <w:tcPr>
            <w:tcW w:w="300" w:type="dxa"/>
            <w:vAlign w:val="bottom"/>
          </w:tcPr>
          <w:p>
            <w:pPr>
              <w:spacing w:after="0"/>
              <w:rPr>
                <w:sz w:val="14"/>
                <w:szCs w:val="14"/>
                <w:color w:val="auto"/>
              </w:rPr>
            </w:pPr>
          </w:p>
        </w:tc>
        <w:tc>
          <w:tcPr>
            <w:tcW w:w="88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11,816.3</w:t>
            </w:r>
          </w:p>
        </w:tc>
        <w:tc>
          <w:tcPr>
            <w:tcW w:w="280" w:type="dxa"/>
            <w:vAlign w:val="bottom"/>
          </w:tcPr>
          <w:p>
            <w:pPr>
              <w:spacing w:after="0"/>
              <w:rPr>
                <w:sz w:val="14"/>
                <w:szCs w:val="14"/>
                <w:color w:val="auto"/>
              </w:rPr>
            </w:pPr>
          </w:p>
        </w:tc>
        <w:tc>
          <w:tcPr>
            <w:tcW w:w="86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11,883.9</w:t>
            </w:r>
          </w:p>
        </w:tc>
      </w:tr>
      <w:tr>
        <w:trPr>
          <w:trHeight w:val="189"/>
        </w:trPr>
        <w:tc>
          <w:tcPr>
            <w:tcW w:w="8920" w:type="dxa"/>
            <w:vAlign w:val="bottom"/>
          </w:tcPr>
          <w:p>
            <w:pPr>
              <w:ind w:left="100"/>
              <w:spacing w:after="0"/>
              <w:rPr>
                <w:sz w:val="20"/>
                <w:szCs w:val="20"/>
                <w:color w:val="auto"/>
              </w:rPr>
            </w:pPr>
            <w:r>
              <w:rPr>
                <w:rFonts w:ascii="Arial" w:cs="Arial" w:eastAsia="Arial" w:hAnsi="Arial"/>
                <w:sz w:val="16"/>
                <w:szCs w:val="16"/>
                <w:color w:val="auto"/>
              </w:rPr>
              <w:t>Cumulative change in fair value of funds withheld embedded derivative</w:t>
            </w:r>
          </w:p>
        </w:tc>
        <w:tc>
          <w:tcPr>
            <w:tcW w:w="3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(2,784.3)</w:t>
            </w: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(2,080.2)</w:t>
            </w:r>
          </w:p>
        </w:tc>
      </w:tr>
      <w:tr>
        <w:trPr>
          <w:trHeight w:val="203"/>
        </w:trPr>
        <w:tc>
          <w:tcPr>
            <w:tcW w:w="8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AOCI, other than foreign currency translation adjustment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3,232.1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2,641.8</w:t>
            </w:r>
          </w:p>
        </w:tc>
      </w:tr>
      <w:tr>
        <w:trPr>
          <w:trHeight w:val="168"/>
        </w:trPr>
        <w:tc>
          <w:tcPr>
            <w:tcW w:w="8920" w:type="dxa"/>
            <w:vAlign w:val="bottom"/>
          </w:tcPr>
          <w:p>
            <w:pPr>
              <w:ind w:left="100"/>
              <w:spacing w:after="0" w:line="168" w:lineRule="exact"/>
              <w:rPr>
                <w:sz w:val="20"/>
                <w:szCs w:val="20"/>
                <w:color w:val="auto"/>
              </w:rPr>
            </w:pPr>
            <w:r>
              <w:rPr>
                <w:rFonts w:ascii="Arial" w:cs="Arial" w:eastAsia="Arial" w:hAnsi="Arial"/>
                <w:sz w:val="16"/>
                <w:szCs w:val="16"/>
                <w:color w:val="auto"/>
              </w:rPr>
              <w:t>Non-GAAP stockholders’ equity, excluding cumulative change in fair value of funds withheld embedded derivative and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5"/>
        </w:trPr>
        <w:tc>
          <w:tcPr>
            <w:tcW w:w="8920" w:type="dxa"/>
            <w:vAlign w:val="bottom"/>
          </w:tcPr>
          <w:p>
            <w:pPr>
              <w:ind w:left="420"/>
              <w:spacing w:after="0"/>
              <w:rPr>
                <w:sz w:val="20"/>
                <w:szCs w:val="20"/>
                <w:color w:val="auto"/>
              </w:rPr>
            </w:pPr>
            <w:r>
              <w:rPr>
                <w:rFonts w:ascii="Arial" w:cs="Arial" w:eastAsia="Arial" w:hAnsi="Arial"/>
                <w:sz w:val="16"/>
                <w:szCs w:val="16"/>
                <w:color w:val="auto"/>
              </w:rPr>
              <w:t>AOCI other than foreign currency translation adjustment, available to common stockholders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12,264.1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12,445.5</w:t>
            </w:r>
          </w:p>
        </w:tc>
      </w:tr>
      <w:tr>
        <w:trPr>
          <w:trHeight w:val="649"/>
        </w:trPr>
        <w:tc>
          <w:tcPr>
            <w:tcW w:w="8920" w:type="dxa"/>
            <w:vAlign w:val="bottom"/>
          </w:tcPr>
          <w:p>
            <w:pPr>
              <w:ind w:left="100"/>
              <w:spacing w:after="0"/>
              <w:rPr>
                <w:sz w:val="20"/>
                <w:szCs w:val="20"/>
                <w:color w:val="auto"/>
              </w:rPr>
            </w:pPr>
            <w:r>
              <w:rPr>
                <w:rFonts w:ascii="Arial" w:cs="Arial" w:eastAsia="Arial" w:hAnsi="Arial"/>
                <w:sz w:val="16"/>
                <w:szCs w:val="16"/>
                <w:b w:val="1"/>
                <w:bCs w:val="1"/>
                <w:color w:val="auto"/>
              </w:rPr>
              <w:t>Non-GAAP Book Value Per Common Share, Excluding Cumulative Change in Fair Value of Funds Withheld</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8920" w:type="dxa"/>
            <w:vAlign w:val="bottom"/>
          </w:tcPr>
          <w:p>
            <w:pPr>
              <w:ind w:left="420"/>
              <w:spacing w:after="0"/>
              <w:rPr>
                <w:sz w:val="20"/>
                <w:szCs w:val="20"/>
                <w:color w:val="auto"/>
              </w:rPr>
            </w:pPr>
            <w:r>
              <w:rPr>
                <w:rFonts w:ascii="Arial" w:cs="Arial" w:eastAsia="Arial" w:hAnsi="Arial"/>
                <w:sz w:val="16"/>
                <w:szCs w:val="16"/>
                <w:b w:val="1"/>
                <w:bCs w:val="1"/>
                <w:color w:val="auto"/>
              </w:rPr>
              <w:t>Embedded Derivative and AOCI Other Than Foreign Currency Translation Adjustment:</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920" w:type="dxa"/>
            <w:vAlign w:val="bottom"/>
          </w:tcPr>
          <w:p>
            <w:pPr>
              <w:ind w:left="100"/>
              <w:spacing w:after="0"/>
              <w:rPr>
                <w:sz w:val="20"/>
                <w:szCs w:val="20"/>
                <w:color w:val="auto"/>
              </w:rPr>
            </w:pPr>
            <w:r>
              <w:rPr>
                <w:rFonts w:ascii="Arial" w:cs="Arial" w:eastAsia="Arial" w:hAnsi="Arial"/>
                <w:sz w:val="16"/>
                <w:szCs w:val="16"/>
                <w:color w:val="auto"/>
              </w:rPr>
              <w:t>Book value per common share</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54.66</w:t>
            </w:r>
          </w:p>
        </w:tc>
      </w:tr>
      <w:tr>
        <w:trPr>
          <w:trHeight w:val="189"/>
        </w:trPr>
        <w:tc>
          <w:tcPr>
            <w:tcW w:w="8920" w:type="dxa"/>
            <w:vAlign w:val="bottom"/>
          </w:tcPr>
          <w:p>
            <w:pPr>
              <w:ind w:left="100"/>
              <w:spacing w:after="0"/>
              <w:rPr>
                <w:sz w:val="20"/>
                <w:szCs w:val="20"/>
                <w:color w:val="auto"/>
              </w:rPr>
            </w:pPr>
            <w:r>
              <w:rPr>
                <w:rFonts w:ascii="Arial" w:cs="Arial" w:eastAsia="Arial" w:hAnsi="Arial"/>
                <w:sz w:val="16"/>
                <w:szCs w:val="16"/>
                <w:color w:val="auto"/>
              </w:rPr>
              <w:t>Cumulative change in fair value of funds withheld embedded derivative and AOCI, other than foreign currency translation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8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adjustment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r>
      <w:tr>
        <w:trPr>
          <w:trHeight w:val="168"/>
        </w:trPr>
        <w:tc>
          <w:tcPr>
            <w:tcW w:w="8920" w:type="dxa"/>
            <w:vAlign w:val="bottom"/>
          </w:tcPr>
          <w:p>
            <w:pPr>
              <w:ind w:left="100"/>
              <w:spacing w:after="0" w:line="168" w:lineRule="exact"/>
              <w:rPr>
                <w:sz w:val="20"/>
                <w:szCs w:val="20"/>
                <w:color w:val="auto"/>
              </w:rPr>
            </w:pPr>
            <w:r>
              <w:rPr>
                <w:rFonts w:ascii="Arial" w:cs="Arial" w:eastAsia="Arial" w:hAnsi="Arial"/>
                <w:sz w:val="16"/>
                <w:szCs w:val="16"/>
                <w:color w:val="auto"/>
              </w:rPr>
              <w:t>Non-GAAP book value per common share, excluding change in fair value of funds withheld embedded derivative and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5"/>
        </w:trPr>
        <w:tc>
          <w:tcPr>
            <w:tcW w:w="8920" w:type="dxa"/>
            <w:vAlign w:val="bottom"/>
          </w:tcPr>
          <w:p>
            <w:pPr>
              <w:ind w:left="420"/>
              <w:spacing w:after="0"/>
              <w:rPr>
                <w:sz w:val="20"/>
                <w:szCs w:val="20"/>
                <w:color w:val="auto"/>
              </w:rPr>
            </w:pPr>
            <w:r>
              <w:rPr>
                <w:rFonts w:ascii="Arial" w:cs="Arial" w:eastAsia="Arial" w:hAnsi="Arial"/>
                <w:sz w:val="16"/>
                <w:szCs w:val="16"/>
                <w:color w:val="auto"/>
              </w:rPr>
              <w:t>AOCI other than foreign currency translation adjustment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57.25</w:t>
            </w:r>
          </w:p>
        </w:tc>
      </w:tr>
      <w:tr>
        <w:trPr>
          <w:trHeight w:val="690"/>
        </w:trPr>
        <w:tc>
          <w:tcPr>
            <w:tcW w:w="8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Principal Financial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U.S. GAAP to Non-GAAP Financial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shd w:val="clear" w:color="auto" w:fill="004C97"/>
          </w:tcPr>
          <w:p>
            <w:pPr>
              <w:spacing w:after="0"/>
              <w:rPr>
                <w:sz w:val="20"/>
                <w:szCs w:val="20"/>
                <w:color w:val="auto"/>
              </w:rPr>
            </w:pPr>
          </w:p>
        </w:tc>
        <w:tc>
          <w:tcPr>
            <w:tcW w:w="2000" w:type="dxa"/>
            <w:vAlign w:val="bottom"/>
            <w:gridSpan w:val="4"/>
            <w:shd w:val="clear" w:color="auto" w:fill="004C97"/>
          </w:tcPr>
          <w:p>
            <w:pPr>
              <w:ind w:left="160"/>
              <w:spacing w:after="0"/>
              <w:rPr>
                <w:sz w:val="20"/>
                <w:szCs w:val="20"/>
                <w:color w:val="auto"/>
              </w:rPr>
            </w:pPr>
            <w:r>
              <w:rPr>
                <w:rFonts w:ascii="Arial" w:cs="Arial" w:eastAsia="Arial" w:hAnsi="Arial"/>
                <w:sz w:val="16"/>
                <w:szCs w:val="16"/>
                <w:color w:val="FFFFFF"/>
              </w:rPr>
              <w:t>Three Months Ended,</w:t>
            </w:r>
          </w:p>
        </w:tc>
        <w:tc>
          <w:tcPr>
            <w:tcW w:w="240" w:type="dxa"/>
            <w:vAlign w:val="bottom"/>
            <w:shd w:val="clear" w:color="auto" w:fill="004C97"/>
          </w:tcPr>
          <w:p>
            <w:pPr>
              <w:spacing w:after="0"/>
              <w:rPr>
                <w:sz w:val="20"/>
                <w:szCs w:val="20"/>
                <w:color w:val="auto"/>
              </w:rPr>
            </w:pPr>
          </w:p>
        </w:tc>
        <w:tc>
          <w:tcPr>
            <w:tcW w:w="2060" w:type="dxa"/>
            <w:vAlign w:val="bottom"/>
            <w:gridSpan w:val="4"/>
            <w:shd w:val="clear" w:color="auto" w:fill="004C97"/>
          </w:tcPr>
          <w:p>
            <w:pPr>
              <w:ind w:left="220"/>
              <w:spacing w:after="0"/>
              <w:rPr>
                <w:sz w:val="20"/>
                <w:szCs w:val="20"/>
                <w:color w:val="auto"/>
              </w:rPr>
            </w:pPr>
            <w:r>
              <w:rPr>
                <w:rFonts w:ascii="Arial" w:cs="Arial" w:eastAsia="Arial" w:hAnsi="Arial"/>
                <w:sz w:val="16"/>
                <w:szCs w:val="16"/>
                <w:color w:val="FFFFFF"/>
              </w:rPr>
              <w:t>Trailing Twelve Months,</w:t>
            </w:r>
          </w:p>
        </w:tc>
      </w:tr>
      <w:tr>
        <w:trPr>
          <w:trHeight w:val="245"/>
        </w:trPr>
        <w:tc>
          <w:tcPr>
            <w:tcW w:w="6940" w:type="dxa"/>
            <w:vAlign w:val="bottom"/>
            <w:tcBorders>
              <w:bottom w:val="single" w:sz="8" w:color="004C97"/>
            </w:tcBorders>
            <w:shd w:val="clear" w:color="auto" w:fill="004C97"/>
          </w:tcPr>
          <w:p>
            <w:pPr>
              <w:spacing w:after="0"/>
              <w:rPr>
                <w:sz w:val="21"/>
                <w:szCs w:val="21"/>
                <w:color w:val="auto"/>
              </w:rPr>
            </w:pPr>
          </w:p>
        </w:tc>
        <w:tc>
          <w:tcPr>
            <w:tcW w:w="240" w:type="dxa"/>
            <w:vAlign w:val="bottom"/>
            <w:tcBorders>
              <w:bottom w:val="single" w:sz="8" w:color="004C97"/>
            </w:tcBorders>
            <w:shd w:val="clear" w:color="auto" w:fill="004C97"/>
          </w:tcPr>
          <w:p>
            <w:pPr>
              <w:spacing w:after="0"/>
              <w:rPr>
                <w:sz w:val="21"/>
                <w:szCs w:val="21"/>
                <w:color w:val="auto"/>
              </w:rPr>
            </w:pPr>
          </w:p>
        </w:tc>
        <w:tc>
          <w:tcPr>
            <w:tcW w:w="760" w:type="dxa"/>
            <w:vAlign w:val="bottom"/>
            <w:tcBorders>
              <w:bottom w:val="single" w:sz="8" w:color="004C97"/>
            </w:tcBorders>
            <w:shd w:val="clear" w:color="auto" w:fill="004C97"/>
          </w:tcPr>
          <w:p>
            <w:pPr>
              <w:jc w:val="right"/>
              <w:ind w:right="279"/>
              <w:spacing w:after="0"/>
              <w:rPr>
                <w:sz w:val="20"/>
                <w:szCs w:val="20"/>
                <w:color w:val="auto"/>
              </w:rPr>
            </w:pPr>
            <w:r>
              <w:rPr>
                <w:rFonts w:ascii="Arial" w:cs="Arial" w:eastAsia="Arial" w:hAnsi="Arial"/>
                <w:sz w:val="16"/>
                <w:szCs w:val="16"/>
                <w:color w:val="FFFFFF"/>
                <w:w w:val="96"/>
              </w:rPr>
              <w:t>3Q26</w:t>
            </w:r>
          </w:p>
        </w:tc>
        <w:tc>
          <w:tcPr>
            <w:tcW w:w="220" w:type="dxa"/>
            <w:vAlign w:val="bottom"/>
            <w:tcBorders>
              <w:bottom w:val="single" w:sz="8" w:color="004C97"/>
            </w:tcBorders>
            <w:shd w:val="clear" w:color="auto" w:fill="004C97"/>
          </w:tcPr>
          <w:p>
            <w:pPr>
              <w:spacing w:after="0"/>
              <w:rPr>
                <w:sz w:val="21"/>
                <w:szCs w:val="21"/>
                <w:color w:val="auto"/>
              </w:rPr>
            </w:pPr>
          </w:p>
        </w:tc>
        <w:tc>
          <w:tcPr>
            <w:tcW w:w="780" w:type="dxa"/>
            <w:vAlign w:val="bottom"/>
            <w:tcBorders>
              <w:bottom w:val="single" w:sz="8" w:color="004C97"/>
            </w:tcBorders>
            <w:shd w:val="clear" w:color="auto" w:fill="004C97"/>
          </w:tcPr>
          <w:p>
            <w:pPr>
              <w:jc w:val="right"/>
              <w:ind w:right="279"/>
              <w:spacing w:after="0"/>
              <w:rPr>
                <w:sz w:val="20"/>
                <w:szCs w:val="20"/>
                <w:color w:val="auto"/>
              </w:rPr>
            </w:pPr>
            <w:r>
              <w:rPr>
                <w:rFonts w:ascii="Arial" w:cs="Arial" w:eastAsia="Arial" w:hAnsi="Arial"/>
                <w:sz w:val="16"/>
                <w:szCs w:val="16"/>
                <w:color w:val="FFFFFF"/>
              </w:rPr>
              <w:t>3Q25</w:t>
            </w:r>
          </w:p>
        </w:tc>
        <w:tc>
          <w:tcPr>
            <w:tcW w:w="240" w:type="dxa"/>
            <w:vAlign w:val="bottom"/>
            <w:tcBorders>
              <w:bottom w:val="single" w:sz="8" w:color="004C97"/>
            </w:tcBorders>
            <w:shd w:val="clear" w:color="auto" w:fill="004C97"/>
          </w:tcPr>
          <w:p>
            <w:pPr>
              <w:spacing w:after="0"/>
              <w:rPr>
                <w:sz w:val="21"/>
                <w:szCs w:val="21"/>
                <w:color w:val="auto"/>
              </w:rPr>
            </w:pPr>
          </w:p>
        </w:tc>
        <w:tc>
          <w:tcPr>
            <w:tcW w:w="800" w:type="dxa"/>
            <w:vAlign w:val="bottom"/>
            <w:tcBorders>
              <w:bottom w:val="single" w:sz="8" w:color="004C97"/>
            </w:tcBorders>
            <w:shd w:val="clear" w:color="auto" w:fill="004C97"/>
          </w:tcPr>
          <w:p>
            <w:pPr>
              <w:jc w:val="right"/>
              <w:ind w:right="279"/>
              <w:spacing w:after="0"/>
              <w:rPr>
                <w:sz w:val="20"/>
                <w:szCs w:val="20"/>
                <w:color w:val="auto"/>
              </w:rPr>
            </w:pPr>
            <w:r>
              <w:rPr>
                <w:rFonts w:ascii="Arial" w:cs="Arial" w:eastAsia="Arial" w:hAnsi="Arial"/>
                <w:sz w:val="16"/>
                <w:szCs w:val="16"/>
                <w:color w:val="FFFFFF"/>
              </w:rPr>
              <w:t>3Q26</w:t>
            </w:r>
          </w:p>
        </w:tc>
        <w:tc>
          <w:tcPr>
            <w:tcW w:w="260" w:type="dxa"/>
            <w:vAlign w:val="bottom"/>
            <w:tcBorders>
              <w:bottom w:val="single" w:sz="8" w:color="004C97"/>
            </w:tcBorders>
            <w:shd w:val="clear" w:color="auto" w:fill="004C97"/>
          </w:tcPr>
          <w:p>
            <w:pPr>
              <w:spacing w:after="0"/>
              <w:rPr>
                <w:sz w:val="21"/>
                <w:szCs w:val="21"/>
                <w:color w:val="auto"/>
              </w:rPr>
            </w:pPr>
          </w:p>
        </w:tc>
        <w:tc>
          <w:tcPr>
            <w:tcW w:w="1000" w:type="dxa"/>
            <w:vAlign w:val="bottom"/>
            <w:tcBorders>
              <w:bottom w:val="single" w:sz="8" w:color="004C97"/>
            </w:tcBorders>
            <w:gridSpan w:val="2"/>
            <w:shd w:val="clear" w:color="auto" w:fill="004C97"/>
          </w:tcPr>
          <w:p>
            <w:pPr>
              <w:ind w:left="40"/>
              <w:spacing w:after="0"/>
              <w:rPr>
                <w:sz w:val="20"/>
                <w:szCs w:val="20"/>
                <w:color w:val="auto"/>
              </w:rPr>
            </w:pPr>
            <w:r>
              <w:rPr>
                <w:rFonts w:ascii="Arial" w:cs="Arial" w:eastAsia="Arial" w:hAnsi="Arial"/>
                <w:sz w:val="16"/>
                <w:szCs w:val="16"/>
                <w:color w:val="FFFFFF"/>
              </w:rPr>
              <w:t>3Q25</w:t>
            </w:r>
          </w:p>
        </w:tc>
      </w:tr>
      <w:tr>
        <w:trPr>
          <w:trHeight w:val="235"/>
        </w:trPr>
        <w:tc>
          <w:tcPr>
            <w:tcW w:w="6940" w:type="dxa"/>
            <w:vAlign w:val="bottom"/>
          </w:tcPr>
          <w:p>
            <w:pPr>
              <w:ind w:left="180"/>
              <w:spacing w:after="0"/>
              <w:rPr>
                <w:sz w:val="20"/>
                <w:szCs w:val="20"/>
                <w:color w:val="auto"/>
              </w:rPr>
            </w:pPr>
            <w:r>
              <w:rPr>
                <w:rFonts w:ascii="Arial" w:cs="Arial" w:eastAsia="Arial" w:hAnsi="Arial"/>
                <w:sz w:val="16"/>
                <w:szCs w:val="16"/>
                <w:b w:val="1"/>
                <w:bCs w:val="1"/>
                <w:color w:val="auto"/>
              </w:rPr>
              <w:t>Non-GAAP Income Taxes: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6"/>
                <w:szCs w:val="16"/>
                <w:color w:val="auto"/>
              </w:rPr>
              <w:t>Total GAAP income taxes (benefit)</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487.0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260.0</w:t>
            </w:r>
          </w:p>
        </w:tc>
        <w:tc>
          <w:tcPr>
            <w:tcW w:w="240" w:type="dxa"/>
            <w:vAlign w:val="bottom"/>
          </w:tcPr>
          <w:p>
            <w:pPr>
              <w:spacing w:after="0"/>
              <w:rPr>
                <w:sz w:val="20"/>
                <w:szCs w:val="20"/>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Net realized capital gains (losses) tax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63.3</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Exited business tax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(194.8)</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66.9</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(194.6)</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Actuarial assumption review tax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21"/>
                <w:szCs w:val="21"/>
                <w:color w:val="auto"/>
              </w:rPr>
            </w:pPr>
          </w:p>
        </w:tc>
      </w:tr>
      <w:tr>
        <w:trPr>
          <w:trHeight w:val="252"/>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taxes related to equity method investments and noncontrolling interest</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82.7</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w:t>
            </w:r>
          </w:p>
        </w:tc>
        <w:tc>
          <w:tcPr>
            <w:tcW w:w="240" w:type="dxa"/>
            <w:vAlign w:val="bottom"/>
          </w:tcPr>
          <w:p>
            <w:pPr>
              <w:spacing w:after="0"/>
              <w:rPr>
                <w:sz w:val="21"/>
                <w:szCs w:val="21"/>
                <w:color w:val="auto"/>
              </w:rPr>
            </w:pPr>
          </w:p>
        </w:tc>
      </w:tr>
      <w:tr>
        <w:trPr>
          <w:trHeight w:val="227"/>
        </w:trPr>
        <w:tc>
          <w:tcPr>
            <w:tcW w:w="6940" w:type="dxa"/>
            <w:vAlign w:val="bottom"/>
          </w:tcPr>
          <w:p>
            <w:pPr>
              <w:ind w:left="180"/>
              <w:spacing w:after="0"/>
              <w:rPr>
                <w:sz w:val="20"/>
                <w:szCs w:val="20"/>
                <w:color w:val="auto"/>
              </w:rPr>
            </w:pPr>
            <w:r>
              <w:rPr>
                <w:rFonts w:ascii="Arial" w:cs="Arial" w:eastAsia="Arial" w:hAnsi="Arial"/>
                <w:sz w:val="16"/>
                <w:szCs w:val="16"/>
                <w:color w:val="auto"/>
              </w:rPr>
              <w:t>Non-GAAP income taxes</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439.8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381.2</w:t>
            </w:r>
          </w:p>
        </w:tc>
        <w:tc>
          <w:tcPr>
            <w:tcW w:w="240" w:type="dxa"/>
            <w:vAlign w:val="bottom"/>
          </w:tcPr>
          <w:p>
            <w:pPr>
              <w:spacing w:after="0"/>
              <w:rPr>
                <w:sz w:val="19"/>
                <w:szCs w:val="19"/>
                <w:color w:val="auto"/>
              </w:rPr>
            </w:pPr>
          </w:p>
        </w:tc>
      </w:tr>
      <w:tr>
        <w:trPr>
          <w:trHeight w:val="494"/>
        </w:trPr>
        <w:tc>
          <w:tcPr>
            <w:tcW w:w="6940" w:type="dxa"/>
            <w:vAlign w:val="bottom"/>
          </w:tcPr>
          <w:p>
            <w:pPr>
              <w:ind w:left="180"/>
              <w:spacing w:after="0"/>
              <w:rPr>
                <w:sz w:val="20"/>
                <w:szCs w:val="20"/>
                <w:color w:val="auto"/>
              </w:rPr>
            </w:pPr>
            <w:r>
              <w:rPr>
                <w:rFonts w:ascii="Arial" w:cs="Arial" w:eastAsia="Arial" w:hAnsi="Arial"/>
                <w:sz w:val="16"/>
                <w:szCs w:val="16"/>
                <w:b w:val="1"/>
                <w:bCs w:val="1"/>
                <w:color w:val="auto"/>
              </w:rPr>
              <w:t>Net Realized Capital Gains (Losses):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6"/>
                <w:szCs w:val="16"/>
                <w:color w:val="auto"/>
              </w:rPr>
              <w:t>GAAP net realized capital gains (losses)</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(346.3)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240" w:type="dxa"/>
            <w:vAlign w:val="bottom"/>
          </w:tcPr>
          <w:p>
            <w:pPr>
              <w:spacing w:after="0"/>
              <w:rPr>
                <w:sz w:val="20"/>
                <w:szCs w:val="20"/>
                <w:color w:val="auto"/>
              </w:rPr>
            </w:pPr>
          </w:p>
        </w:tc>
      </w:tr>
      <w:tr>
        <w:trPr>
          <w:trHeight w:val="486"/>
        </w:trPr>
        <w:tc>
          <w:tcPr>
            <w:tcW w:w="6940" w:type="dxa"/>
            <w:vAlign w:val="bottom"/>
          </w:tcPr>
          <w:p>
            <w:pPr>
              <w:ind w:left="180"/>
              <w:spacing w:after="0"/>
              <w:rPr>
                <w:sz w:val="20"/>
                <w:szCs w:val="20"/>
                <w:color w:val="auto"/>
              </w:rPr>
            </w:pPr>
            <w:r>
              <w:rPr>
                <w:rFonts w:ascii="Arial" w:cs="Arial" w:eastAsia="Arial" w:hAnsi="Arial"/>
                <w:sz w:val="16"/>
                <w:szCs w:val="16"/>
                <w:color w:val="auto"/>
              </w:rPr>
              <w:t>Market value adjustments to fee revenues</w:t>
            </w:r>
          </w:p>
        </w:tc>
        <w:tc>
          <w:tcPr>
            <w:tcW w:w="2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4"/>
                <w:szCs w:val="24"/>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Net realized capital gains (losses) related to equity method investments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Derivative and hedging-related revenue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(158.0)</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Certain variable annuity fees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68.7</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Net realized capital (gains) losses related to exited business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276.7</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276.7</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Certain real estate-related depreciation and amortization</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Sponsored investment funds and other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48.5</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Capital gains distributed – operating expenses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(28.4)</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Amortization of actuarial balances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(23.9)</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Derivative and hedging-related expense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Market value adjustments of embedded derivatives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Market value adjustments of market risk benefits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(71.0)</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Capital gains distributed – cost of interest credited</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240" w:type="dxa"/>
            <w:vAlign w:val="bottom"/>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6"/>
                <w:szCs w:val="16"/>
                <w:color w:val="auto"/>
              </w:rPr>
              <w:t>Net realized capital gains (losses) tax adjustments</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63.3</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240" w:type="dxa"/>
            <w:vAlign w:val="bottom"/>
          </w:tcPr>
          <w:p>
            <w:pPr>
              <w:spacing w:after="0"/>
              <w:rPr>
                <w:sz w:val="21"/>
                <w:szCs w:val="21"/>
                <w:color w:val="auto"/>
              </w:rPr>
            </w:pPr>
          </w:p>
        </w:tc>
      </w:tr>
      <w:tr>
        <w:trPr>
          <w:trHeight w:val="252"/>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realized capital gains (losses) attributable to noncontrolling interest, after-tax</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w:t>
            </w:r>
          </w:p>
        </w:tc>
        <w:tc>
          <w:tcPr>
            <w:tcW w:w="240" w:type="dxa"/>
            <w:vAlign w:val="bottom"/>
          </w:tcPr>
          <w:p>
            <w:pPr>
              <w:spacing w:after="0"/>
              <w:rPr>
                <w:sz w:val="21"/>
                <w:szCs w:val="21"/>
                <w:color w:val="auto"/>
              </w:rPr>
            </w:pPr>
          </w:p>
        </w:tc>
      </w:tr>
      <w:tr>
        <w:trPr>
          <w:trHeight w:val="236"/>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net realized capital gains (losses) after-tax adjustments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265.6</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(93.8)</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78.6</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(160.2)</w:t>
            </w:r>
          </w:p>
        </w:tc>
        <w:tc>
          <w:tcPr>
            <w:tcW w:w="240" w:type="dxa"/>
            <w:vAlign w:val="bottom"/>
          </w:tcPr>
          <w:p>
            <w:pPr>
              <w:spacing w:after="0"/>
              <w:rPr>
                <w:sz w:val="20"/>
                <w:szCs w:val="20"/>
                <w:color w:val="auto"/>
              </w:rPr>
            </w:pPr>
          </w:p>
        </w:tc>
      </w:tr>
      <w:tr>
        <w:trPr>
          <w:trHeight w:val="470"/>
        </w:trPr>
        <w:tc>
          <w:tcPr>
            <w:tcW w:w="6940" w:type="dxa"/>
            <w:vAlign w:val="bottom"/>
          </w:tcPr>
          <w:p>
            <w:pPr>
              <w:ind w:left="180"/>
              <w:spacing w:after="0"/>
              <w:rPr>
                <w:sz w:val="20"/>
                <w:szCs w:val="20"/>
                <w:color w:val="auto"/>
              </w:rPr>
            </w:pPr>
            <w:r>
              <w:rPr>
                <w:rFonts w:ascii="Arial" w:cs="Arial" w:eastAsia="Arial" w:hAnsi="Arial"/>
                <w:sz w:val="16"/>
                <w:szCs w:val="16"/>
                <w:color w:val="auto"/>
              </w:rPr>
              <w:t>Non-GAAP net realized capital gains (losses), as adjusted</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(267.7)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(274.8)</w:t>
            </w:r>
          </w:p>
        </w:tc>
        <w:tc>
          <w:tcPr>
            <w:tcW w:w="240" w:type="dxa"/>
            <w:vAlign w:val="bottom"/>
          </w:tcPr>
          <w:p>
            <w:pPr>
              <w:spacing w:after="0"/>
              <w:rPr>
                <w:sz w:val="24"/>
                <w:szCs w:val="24"/>
                <w:color w:val="auto"/>
              </w:rPr>
            </w:pPr>
          </w:p>
        </w:tc>
      </w:tr>
      <w:tr>
        <w:trPr>
          <w:trHeight w:val="494"/>
        </w:trPr>
        <w:tc>
          <w:tcPr>
            <w:tcW w:w="6940" w:type="dxa"/>
            <w:vAlign w:val="bottom"/>
          </w:tcPr>
          <w:p>
            <w:pPr>
              <w:ind w:left="180"/>
              <w:spacing w:after="0"/>
              <w:rPr>
                <w:sz w:val="20"/>
                <w:szCs w:val="20"/>
                <w:color w:val="auto"/>
              </w:rPr>
            </w:pPr>
            <w:r>
              <w:rPr>
                <w:rFonts w:ascii="Arial" w:cs="Arial" w:eastAsia="Arial" w:hAnsi="Arial"/>
                <w:sz w:val="16"/>
                <w:szCs w:val="16"/>
                <w:b w:val="1"/>
                <w:bCs w:val="1"/>
                <w:color w:val="auto"/>
              </w:rPr>
              <w:t>Non-GAAP Income (Loss) from Exited Business: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5"/>
        </w:trPr>
        <w:tc>
          <w:tcPr>
            <w:tcW w:w="6940" w:type="dxa"/>
            <w:vAlign w:val="bottom"/>
          </w:tcPr>
          <w:p>
            <w:pPr>
              <w:ind w:left="180"/>
              <w:spacing w:after="0"/>
              <w:rPr>
                <w:sz w:val="20"/>
                <w:szCs w:val="20"/>
                <w:color w:val="auto"/>
              </w:rPr>
            </w:pPr>
            <w:r>
              <w:rPr>
                <w:rFonts w:ascii="Arial" w:cs="Arial" w:eastAsia="Arial" w:hAnsi="Arial"/>
                <w:sz w:val="16"/>
                <w:szCs w:val="16"/>
                <w:color w:val="auto"/>
              </w:rPr>
              <w:t>Pre-tax impacts of exited business: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6940" w:type="dxa"/>
            <w:vAlign w:val="bottom"/>
          </w:tcPr>
          <w:p>
            <w:pPr>
              <w:ind w:left="340"/>
              <w:spacing w:after="0"/>
              <w:rPr>
                <w:sz w:val="20"/>
                <w:szCs w:val="20"/>
                <w:color w:val="auto"/>
              </w:rPr>
            </w:pPr>
            <w:r>
              <w:rPr>
                <w:rFonts w:ascii="Arial" w:cs="Arial" w:eastAsia="Arial" w:hAnsi="Arial"/>
                <w:sz w:val="16"/>
                <w:szCs w:val="16"/>
                <w:color w:val="auto"/>
              </w:rPr>
              <w:t>Amortization of reinsurance gains (losses)</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(180.7)</w:t>
            </w:r>
          </w:p>
        </w:tc>
        <w:tc>
          <w:tcPr>
            <w:tcW w:w="240" w:type="dxa"/>
            <w:vAlign w:val="bottom"/>
          </w:tcPr>
          <w:p>
            <w:pPr>
              <w:spacing w:after="0"/>
              <w:rPr>
                <w:sz w:val="21"/>
                <w:szCs w:val="21"/>
                <w:color w:val="auto"/>
              </w:rPr>
            </w:pPr>
          </w:p>
        </w:tc>
      </w:tr>
      <w:tr>
        <w:trPr>
          <w:trHeight w:val="312"/>
        </w:trPr>
        <w:tc>
          <w:tcPr>
            <w:tcW w:w="6940" w:type="dxa"/>
            <w:vAlign w:val="bottom"/>
          </w:tcPr>
          <w:p>
            <w:pPr>
              <w:ind w:left="340"/>
              <w:spacing w:after="0"/>
              <w:rPr>
                <w:sz w:val="20"/>
                <w:szCs w:val="20"/>
                <w:color w:val="auto"/>
              </w:rPr>
            </w:pPr>
            <w:r>
              <w:rPr>
                <w:rFonts w:ascii="Arial" w:cs="Arial" w:eastAsia="Arial" w:hAnsi="Arial"/>
                <w:sz w:val="16"/>
                <w:szCs w:val="16"/>
                <w:color w:val="auto"/>
              </w:rPr>
              <w:t>Other impacts of exited business</w:t>
            </w:r>
            <w:r>
              <w:rPr>
                <w:rFonts w:ascii="Arial" w:cs="Arial" w:eastAsia="Arial" w:hAnsi="Arial"/>
                <w:sz w:val="26"/>
                <w:szCs w:val="26"/>
                <w:color w:val="auto"/>
                <w:vertAlign w:val="superscript"/>
              </w:rPr>
              <w:t>16</w:t>
            </w:r>
          </w:p>
        </w:tc>
        <w:tc>
          <w:tcPr>
            <w:tcW w:w="2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2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(418.9)</w:t>
            </w:r>
          </w:p>
        </w:tc>
        <w:tc>
          <w:tcPr>
            <w:tcW w:w="2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240" w:type="dxa"/>
            <w:vAlign w:val="bottom"/>
          </w:tcPr>
          <w:p>
            <w:pPr>
              <w:spacing w:after="0"/>
              <w:rPr>
                <w:sz w:val="24"/>
                <w:szCs w:val="24"/>
                <w:color w:val="auto"/>
              </w:rPr>
            </w:pPr>
          </w:p>
        </w:tc>
      </w:tr>
      <w:tr>
        <w:trPr>
          <w:trHeight w:val="215"/>
        </w:trPr>
        <w:tc>
          <w:tcPr>
            <w:tcW w:w="6940" w:type="dxa"/>
            <w:vAlign w:val="bottom"/>
          </w:tcPr>
          <w:p>
            <w:pPr>
              <w:ind w:left="340"/>
              <w:spacing w:after="0"/>
              <w:rPr>
                <w:sz w:val="20"/>
                <w:szCs w:val="20"/>
                <w:color w:val="auto"/>
              </w:rPr>
            </w:pPr>
            <w:r>
              <w:rPr>
                <w:rFonts w:ascii="Arial" w:cs="Arial" w:eastAsia="Arial" w:hAnsi="Arial"/>
                <w:sz w:val="16"/>
                <w:szCs w:val="16"/>
                <w:color w:val="auto"/>
              </w:rPr>
              <w:t>Net realized capital gains (losses) on funds withheld assets</w:t>
            </w:r>
          </w:p>
        </w:tc>
        <w:tc>
          <w:tcPr>
            <w:tcW w:w="2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8"/>
                <w:szCs w:val="18"/>
                <w:color w:val="auto"/>
              </w:rPr>
            </w:pPr>
          </w:p>
        </w:tc>
      </w:tr>
      <w:tr>
        <w:trPr>
          <w:trHeight w:val="243"/>
        </w:trPr>
        <w:tc>
          <w:tcPr>
            <w:tcW w:w="6940" w:type="dxa"/>
            <w:vAlign w:val="bottom"/>
          </w:tcPr>
          <w:p>
            <w:pPr>
              <w:ind w:left="340"/>
              <w:spacing w:after="0"/>
              <w:rPr>
                <w:sz w:val="20"/>
                <w:szCs w:val="20"/>
                <w:color w:val="auto"/>
              </w:rPr>
            </w:pPr>
            <w:r>
              <w:rPr>
                <w:rFonts w:ascii="Arial" w:cs="Arial" w:eastAsia="Arial" w:hAnsi="Arial"/>
                <w:sz w:val="16"/>
                <w:szCs w:val="16"/>
                <w:color w:val="auto"/>
              </w:rPr>
              <w:t>Change in fair value of funds withheld embedded derivative</w:t>
            </w: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818.2</w:t>
            </w:r>
          </w:p>
        </w:tc>
        <w:tc>
          <w:tcPr>
            <w:tcW w:w="22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(265.9)</w:t>
            </w:r>
          </w:p>
        </w:tc>
        <w:tc>
          <w:tcPr>
            <w:tcW w:w="24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965.4</w:t>
            </w: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339.0</w:t>
            </w:r>
          </w:p>
        </w:tc>
        <w:tc>
          <w:tcPr>
            <w:tcW w:w="240" w:type="dxa"/>
            <w:vAlign w:val="bottom"/>
          </w:tcPr>
          <w:p>
            <w:pPr>
              <w:spacing w:after="0"/>
              <w:rPr>
                <w:sz w:val="21"/>
                <w:szCs w:val="21"/>
                <w:color w:val="auto"/>
              </w:rPr>
            </w:pPr>
          </w:p>
        </w:tc>
      </w:tr>
      <w:tr>
        <w:trPr>
          <w:trHeight w:val="252"/>
        </w:trPr>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Tax impacts of exited business</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(194.8)</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66.9</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(194.6)</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1"/>
                <w:szCs w:val="21"/>
                <w:color w:val="auto"/>
              </w:rPr>
            </w:pPr>
          </w:p>
        </w:tc>
      </w:tr>
      <w:tr>
        <w:trPr>
          <w:trHeight w:val="228"/>
        </w:trPr>
        <w:tc>
          <w:tcPr>
            <w:tcW w:w="6940" w:type="dxa"/>
            <w:vAlign w:val="bottom"/>
          </w:tcPr>
          <w:p>
            <w:pPr>
              <w:ind w:left="180"/>
              <w:spacing w:after="0"/>
              <w:rPr>
                <w:sz w:val="20"/>
                <w:szCs w:val="20"/>
                <w:color w:val="auto"/>
              </w:rPr>
            </w:pPr>
            <w:r>
              <w:rPr>
                <w:rFonts w:ascii="Arial" w:cs="Arial" w:eastAsia="Arial" w:hAnsi="Arial"/>
                <w:sz w:val="16"/>
                <w:szCs w:val="16"/>
                <w:color w:val="auto"/>
              </w:rPr>
              <w:t>Non-GAAP total income (loss) from exited business</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276.7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3"/>
          <w:szCs w:val="23"/>
          <w:color w:val="auto"/>
          <w:vertAlign w:val="superscript"/>
        </w:rPr>
      </w:pPr>
      <w:r>
        <w:rPr>
          <w:rFonts w:ascii="Arial" w:cs="Arial" w:eastAsia="Arial" w:hAnsi="Arial"/>
          <w:sz w:val="14"/>
          <w:szCs w:val="14"/>
          <w:color w:val="auto"/>
        </w:rPr>
        <w:t>3Q26 includes a $276.7 million pre-tax loss associated with the disposition of our Chilean annuities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Principal Financial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U.S. GAAP to Non-GAAP Financial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80" w:type="dxa"/>
            <w:vAlign w:val="bottom"/>
            <w:shd w:val="clear" w:color="auto" w:fill="004C97"/>
          </w:tcPr>
          <w:p>
            <w:pPr>
              <w:spacing w:after="0"/>
              <w:rPr>
                <w:sz w:val="20"/>
                <w:szCs w:val="20"/>
                <w:color w:val="auto"/>
              </w:rPr>
            </w:pPr>
          </w:p>
        </w:tc>
        <w:tc>
          <w:tcPr>
            <w:tcW w:w="2020" w:type="dxa"/>
            <w:vAlign w:val="bottom"/>
            <w:gridSpan w:val="4"/>
            <w:shd w:val="clear" w:color="auto" w:fill="004C97"/>
          </w:tcPr>
          <w:p>
            <w:pPr>
              <w:jc w:val="right"/>
              <w:ind w:right="259"/>
              <w:spacing w:after="0"/>
              <w:rPr>
                <w:sz w:val="20"/>
                <w:szCs w:val="20"/>
                <w:color w:val="auto"/>
              </w:rPr>
            </w:pPr>
            <w:r>
              <w:rPr>
                <w:rFonts w:ascii="Arial" w:cs="Arial" w:eastAsia="Arial" w:hAnsi="Arial"/>
                <w:sz w:val="16"/>
                <w:szCs w:val="16"/>
                <w:color w:val="FFFFFF"/>
              </w:rPr>
              <w:t>Three Months Ended,</w:t>
            </w:r>
          </w:p>
        </w:tc>
        <w:tc>
          <w:tcPr>
            <w:tcW w:w="200" w:type="dxa"/>
            <w:vAlign w:val="bottom"/>
            <w:shd w:val="clear" w:color="auto" w:fill="004C97"/>
          </w:tcPr>
          <w:p>
            <w:pPr>
              <w:spacing w:after="0"/>
              <w:rPr>
                <w:sz w:val="20"/>
                <w:szCs w:val="20"/>
                <w:color w:val="auto"/>
              </w:rPr>
            </w:pPr>
          </w:p>
        </w:tc>
        <w:tc>
          <w:tcPr>
            <w:tcW w:w="2040" w:type="dxa"/>
            <w:vAlign w:val="bottom"/>
            <w:gridSpan w:val="3"/>
            <w:shd w:val="clear" w:color="auto" w:fill="004C97"/>
          </w:tcPr>
          <w:p>
            <w:pPr>
              <w:jc w:val="right"/>
              <w:ind w:right="259"/>
              <w:spacing w:after="0"/>
              <w:rPr>
                <w:sz w:val="20"/>
                <w:szCs w:val="20"/>
                <w:color w:val="auto"/>
              </w:rPr>
            </w:pPr>
            <w:r>
              <w:rPr>
                <w:rFonts w:ascii="Arial" w:cs="Arial" w:eastAsia="Arial" w:hAnsi="Arial"/>
                <w:sz w:val="16"/>
                <w:szCs w:val="16"/>
                <w:color w:val="FFFFFF"/>
                <w:w w:val="99"/>
              </w:rPr>
              <w:t>Trailing Twelve Months,</w:t>
            </w:r>
          </w:p>
        </w:tc>
      </w:tr>
      <w:tr>
        <w:trPr>
          <w:trHeight w:val="258"/>
        </w:trPr>
        <w:tc>
          <w:tcPr>
            <w:tcW w:w="6980" w:type="dxa"/>
            <w:vAlign w:val="bottom"/>
            <w:tcBorders>
              <w:bottom w:val="single" w:sz="8" w:color="004C97"/>
            </w:tcBorders>
            <w:shd w:val="clear" w:color="auto" w:fill="004C97"/>
          </w:tcPr>
          <w:p>
            <w:pPr>
              <w:spacing w:after="0"/>
              <w:rPr>
                <w:sz w:val="22"/>
                <w:szCs w:val="22"/>
                <w:color w:val="auto"/>
              </w:rPr>
            </w:pPr>
          </w:p>
        </w:tc>
        <w:tc>
          <w:tcPr>
            <w:tcW w:w="160" w:type="dxa"/>
            <w:vAlign w:val="bottom"/>
            <w:tcBorders>
              <w:bottom w:val="single" w:sz="8" w:color="004C97"/>
            </w:tcBorders>
            <w:shd w:val="clear" w:color="auto" w:fill="004C97"/>
          </w:tcPr>
          <w:p>
            <w:pPr>
              <w:spacing w:after="0"/>
              <w:rPr>
                <w:sz w:val="22"/>
                <w:szCs w:val="22"/>
                <w:color w:val="auto"/>
              </w:rPr>
            </w:pPr>
          </w:p>
        </w:tc>
        <w:tc>
          <w:tcPr>
            <w:tcW w:w="820" w:type="dxa"/>
            <w:vAlign w:val="bottom"/>
            <w:tcBorders>
              <w:bottom w:val="single" w:sz="8" w:color="004C97"/>
            </w:tcBorders>
            <w:shd w:val="clear" w:color="auto" w:fill="004C97"/>
          </w:tcPr>
          <w:p>
            <w:pPr>
              <w:jc w:val="right"/>
              <w:ind w:right="319"/>
              <w:spacing w:after="0"/>
              <w:rPr>
                <w:sz w:val="20"/>
                <w:szCs w:val="20"/>
                <w:color w:val="auto"/>
              </w:rPr>
            </w:pPr>
            <w:r>
              <w:rPr>
                <w:rFonts w:ascii="Arial" w:cs="Arial" w:eastAsia="Arial" w:hAnsi="Arial"/>
                <w:sz w:val="16"/>
                <w:szCs w:val="16"/>
                <w:color w:val="FFFFFF"/>
              </w:rPr>
              <w:t>3Q26</w:t>
            </w:r>
          </w:p>
        </w:tc>
        <w:tc>
          <w:tcPr>
            <w:tcW w:w="240" w:type="dxa"/>
            <w:vAlign w:val="bottom"/>
            <w:tcBorders>
              <w:bottom w:val="single" w:sz="8" w:color="004C97"/>
            </w:tcBorders>
            <w:shd w:val="clear" w:color="auto" w:fill="004C97"/>
          </w:tcPr>
          <w:p>
            <w:pPr>
              <w:spacing w:after="0"/>
              <w:rPr>
                <w:sz w:val="22"/>
                <w:szCs w:val="22"/>
                <w:color w:val="auto"/>
              </w:rPr>
            </w:pPr>
          </w:p>
        </w:tc>
        <w:tc>
          <w:tcPr>
            <w:tcW w:w="800" w:type="dxa"/>
            <w:vAlign w:val="bottom"/>
            <w:tcBorders>
              <w:bottom w:val="single" w:sz="8" w:color="004C97"/>
            </w:tcBorders>
            <w:shd w:val="clear" w:color="auto" w:fill="004C97"/>
          </w:tcPr>
          <w:p>
            <w:pPr>
              <w:jc w:val="right"/>
              <w:ind w:right="319"/>
              <w:spacing w:after="0"/>
              <w:rPr>
                <w:sz w:val="20"/>
                <w:szCs w:val="20"/>
                <w:color w:val="auto"/>
              </w:rPr>
            </w:pPr>
            <w:r>
              <w:rPr>
                <w:rFonts w:ascii="Arial" w:cs="Arial" w:eastAsia="Arial" w:hAnsi="Arial"/>
                <w:sz w:val="16"/>
                <w:szCs w:val="16"/>
                <w:color w:val="FFFFFF"/>
                <w:w w:val="96"/>
              </w:rPr>
              <w:t>3Q25</w:t>
            </w:r>
          </w:p>
        </w:tc>
        <w:tc>
          <w:tcPr>
            <w:tcW w:w="200" w:type="dxa"/>
            <w:vAlign w:val="bottom"/>
            <w:tcBorders>
              <w:bottom w:val="single" w:sz="8" w:color="004C97"/>
            </w:tcBorders>
            <w:shd w:val="clear" w:color="auto" w:fill="004C97"/>
          </w:tcPr>
          <w:p>
            <w:pPr>
              <w:spacing w:after="0"/>
              <w:rPr>
                <w:sz w:val="22"/>
                <w:szCs w:val="22"/>
                <w:color w:val="auto"/>
              </w:rPr>
            </w:pPr>
          </w:p>
        </w:tc>
        <w:tc>
          <w:tcPr>
            <w:tcW w:w="900" w:type="dxa"/>
            <w:vAlign w:val="bottom"/>
            <w:tcBorders>
              <w:bottom w:val="single" w:sz="8" w:color="004C97"/>
            </w:tcBorders>
            <w:shd w:val="clear" w:color="auto" w:fill="004C97"/>
          </w:tcPr>
          <w:p>
            <w:pPr>
              <w:jc w:val="right"/>
              <w:ind w:right="339"/>
              <w:spacing w:after="0"/>
              <w:rPr>
                <w:sz w:val="20"/>
                <w:szCs w:val="20"/>
                <w:color w:val="auto"/>
              </w:rPr>
            </w:pPr>
            <w:r>
              <w:rPr>
                <w:rFonts w:ascii="Arial" w:cs="Arial" w:eastAsia="Arial" w:hAnsi="Arial"/>
                <w:sz w:val="16"/>
                <w:szCs w:val="16"/>
                <w:color w:val="FFFFFF"/>
              </w:rPr>
              <w:t>3Q26</w:t>
            </w:r>
          </w:p>
        </w:tc>
        <w:tc>
          <w:tcPr>
            <w:tcW w:w="260" w:type="dxa"/>
            <w:vAlign w:val="bottom"/>
            <w:tcBorders>
              <w:bottom w:val="single" w:sz="8" w:color="004C97"/>
            </w:tcBorders>
            <w:shd w:val="clear" w:color="auto" w:fill="004C97"/>
          </w:tcPr>
          <w:p>
            <w:pPr>
              <w:spacing w:after="0"/>
              <w:rPr>
                <w:sz w:val="22"/>
                <w:szCs w:val="22"/>
                <w:color w:val="auto"/>
              </w:rPr>
            </w:pPr>
          </w:p>
        </w:tc>
        <w:tc>
          <w:tcPr>
            <w:tcW w:w="880" w:type="dxa"/>
            <w:vAlign w:val="bottom"/>
            <w:tcBorders>
              <w:bottom w:val="single" w:sz="8" w:color="004C97"/>
            </w:tcBorders>
            <w:shd w:val="clear" w:color="auto" w:fill="004C97"/>
          </w:tcPr>
          <w:p>
            <w:pPr>
              <w:jc w:val="right"/>
              <w:ind w:right="359"/>
              <w:spacing w:after="0"/>
              <w:rPr>
                <w:sz w:val="20"/>
                <w:szCs w:val="20"/>
                <w:color w:val="auto"/>
              </w:rPr>
            </w:pPr>
            <w:r>
              <w:rPr>
                <w:rFonts w:ascii="Arial" w:cs="Arial" w:eastAsia="Arial" w:hAnsi="Arial"/>
                <w:sz w:val="16"/>
                <w:szCs w:val="16"/>
                <w:color w:val="FFFFFF"/>
              </w:rPr>
              <w:t>3Q25</w:t>
            </w:r>
          </w:p>
        </w:tc>
      </w:tr>
      <w:tr>
        <w:trPr>
          <w:trHeight w:val="263"/>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Investment Management Non-GAAP Operating Revenues Less Pass-Through Expenses: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9"/>
        </w:trPr>
        <w:tc>
          <w:tcPr>
            <w:tcW w:w="6980" w:type="dxa"/>
            <w:vAlign w:val="bottom"/>
          </w:tcPr>
          <w:p>
            <w:pPr>
              <w:ind w:left="140"/>
              <w:spacing w:after="0"/>
              <w:rPr>
                <w:sz w:val="20"/>
                <w:szCs w:val="20"/>
                <w:color w:val="auto"/>
              </w:rPr>
            </w:pPr>
            <w:r>
              <w:rPr>
                <w:rFonts w:ascii="Arial" w:cs="Arial" w:eastAsia="Arial" w:hAnsi="Arial"/>
                <w:sz w:val="16"/>
                <w:szCs w:val="16"/>
                <w:color w:val="auto"/>
              </w:rPr>
              <w:t>Operating revenues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476.8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1,897.9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1,879.4</w:t>
            </w:r>
          </w:p>
        </w:tc>
      </w:tr>
      <w:tr>
        <w:trPr>
          <w:trHeight w:val="298"/>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Commissions and other expenses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(154.7)</w:t>
            </w:r>
          </w:p>
        </w:tc>
      </w:tr>
      <w:tr>
        <w:trPr>
          <w:trHeight w:val="236"/>
        </w:trPr>
        <w:tc>
          <w:tcPr>
            <w:tcW w:w="6980" w:type="dxa"/>
            <w:vAlign w:val="bottom"/>
          </w:tcPr>
          <w:p>
            <w:pPr>
              <w:ind w:left="140"/>
              <w:spacing w:after="0"/>
              <w:rPr>
                <w:sz w:val="20"/>
                <w:szCs w:val="20"/>
                <w:color w:val="auto"/>
              </w:rPr>
            </w:pPr>
            <w:r>
              <w:rPr>
                <w:rFonts w:ascii="Arial" w:cs="Arial" w:eastAsia="Arial" w:hAnsi="Arial"/>
                <w:sz w:val="16"/>
                <w:szCs w:val="16"/>
                <w:color w:val="auto"/>
              </w:rPr>
              <w:t>Non-GAAP operating revenues less pass-through expenses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444.0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1,735.5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1,724.7</w:t>
            </w:r>
          </w:p>
        </w:tc>
      </w:tr>
      <w:tr>
        <w:trPr>
          <w:trHeight w:val="637"/>
        </w:trPr>
        <w:tc>
          <w:tcPr>
            <w:tcW w:w="6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3"/>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4"/>
      <w:numFmt w:val="bullet"/>
      <w:start w:val="1"/>
    </w:lvl>
  </w:abstractNum>
  <w:abstractNum w:abstractNumId="11">
    <w:nsid w:val="519B500D"/>
    <w:multiLevelType w:val="hybridMultilevel"/>
    <w:lvl w:ilvl="0">
      <w:lvlJc w:val="left"/>
      <w:lvlText w:val="5"/>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9"/>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1"/>
      <w:numFmt w:val="decimal"/>
      <w:start w:val="15"/>
    </w:lvl>
  </w:abstractNum>
  <w:abstractNum w:abstractNumId="22">
    <w:nsid w:val="2D1D5AE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2026-10-26T15:03:33Z</dcterms:created>
  <dcterms:modified xsi:type="dcterms:W3CDTF">2026-10-26T15:03:33Z</dcterms:modified>
</cp:coreProperties>
</file>