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70510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705104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STRABLE-SOETHOUT DEANNA D</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(Last)</w:t>
            </w:r>
          </w:p>
        </w:tc>
        <w:tc>
          <w:tcPr>
            <w:tcW w:w="920" w:type="dxa"/>
            <w:vAlign w:val="bottom"/>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711 HIGH STREET</w:t>
            </w:r>
          </w:p>
        </w:tc>
        <w:tc>
          <w:tcPr>
            <w:tcW w:w="160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r>
      <w:tr>
        <w:trPr>
          <w:trHeight w:val="25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DES MOINES</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50392</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PRINCIPAL FINANCIAL GROUP INC </w:t>
              </w:r>
            </w:hyperlink>
            <w:r>
              <w:rPr>
                <w:rFonts w:ascii="Times New Roman" w:cs="Times New Roman" w:eastAsia="Times New Roman" w:hAnsi="Times New Roman"/>
                <w:sz w:val="15"/>
                <w:szCs w:val="15"/>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240" w:type="dxa"/>
            <w:vAlign w:val="bottom"/>
            <w:tcBorders>
              <w:bottom w:val="single" w:sz="8" w:color="0000EE"/>
            </w:tcBorders>
          </w:tcPr>
          <w:p>
            <w:pPr>
              <w:spacing w:after="0"/>
              <w:rPr>
                <w:sz w:val="3"/>
                <w:szCs w:val="3"/>
                <w:color w:val="auto"/>
              </w:rPr>
            </w:pPr>
          </w:p>
        </w:tc>
        <w:tc>
          <w:tcPr>
            <w:tcW w:w="40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37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PFG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vMerge w:val="continue"/>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6"/>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2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32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7"/>
                <w:szCs w:val="17"/>
                <w:color w:val="0000FF"/>
              </w:rPr>
              <w:t>Chair, President and CEO</w:t>
            </w:r>
          </w:p>
        </w:tc>
        <w:tc>
          <w:tcPr>
            <w:tcW w:w="0" w:type="dxa"/>
            <w:vAlign w:val="bottom"/>
          </w:tcPr>
          <w:p>
            <w:pPr>
              <w:spacing w:after="0"/>
              <w:rPr>
                <w:sz w:val="1"/>
                <w:szCs w:val="1"/>
                <w:color w:val="auto"/>
              </w:rPr>
            </w:pPr>
          </w:p>
        </w:tc>
      </w:tr>
      <w:tr>
        <w:trPr>
          <w:trHeight w:val="114"/>
        </w:trPr>
        <w:tc>
          <w:tcPr>
            <w:tcW w:w="3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06/11/2026</w:t>
            </w:r>
          </w:p>
        </w:tc>
        <w:tc>
          <w:tcPr>
            <w:tcW w:w="400" w:type="dxa"/>
            <w:vAlign w:val="bottom"/>
          </w:tcPr>
          <w:p>
            <w:pPr>
              <w:spacing w:after="0"/>
              <w:rPr>
                <w:sz w:val="9"/>
                <w:szCs w:val="9"/>
                <w:color w:val="auto"/>
              </w:rPr>
            </w:pPr>
          </w:p>
        </w:tc>
        <w:tc>
          <w:tcPr>
            <w:tcW w:w="3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3440" w:type="dxa"/>
            <w:vAlign w:val="bottom"/>
            <w:gridSpan w:val="3"/>
            <w:vMerge w:val="continue"/>
          </w:tcPr>
          <w:p>
            <w:pPr>
              <w:spacing w:after="0"/>
              <w:rPr>
                <w:sz w:val="8"/>
                <w:szCs w:val="8"/>
                <w:color w:val="auto"/>
              </w:rPr>
            </w:pPr>
          </w:p>
        </w:tc>
        <w:tc>
          <w:tcPr>
            <w:tcW w:w="4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24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3280" w:type="dxa"/>
            <w:vAlign w:val="bottom"/>
            <w:tcBorders>
              <w:bottom w:val="single" w:sz="8" w:color="2C2C2C"/>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jc w:val="center"/>
              <w:ind w:left="447"/>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2"/>
          </w:tcPr>
          <w:p>
            <w:pPr>
              <w:jc w:val="center"/>
              <w:ind w:left="447"/>
              <w:spacing w:after="0"/>
              <w:rPr>
                <w:sz w:val="20"/>
                <w:szCs w:val="20"/>
                <w:color w:val="auto"/>
              </w:rPr>
            </w:pPr>
            <w:r>
              <w:rPr>
                <w:rFonts w:ascii="Times New Roman" w:cs="Times New Roman" w:eastAsia="Times New Roman" w:hAnsi="Times New Roman"/>
                <w:sz w:val="17"/>
                <w:szCs w:val="17"/>
                <w:color w:val="0000FF"/>
                <w:w w:val="98"/>
              </w:rPr>
              <w:t>06/11/2026</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16,825</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center"/>
              <w:ind w:left="4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62.78</w:t>
            </w:r>
          </w:p>
        </w:tc>
        <w:tc>
          <w:tcPr>
            <w:tcW w:w="16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190,080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2"/>
          </w:tcPr>
          <w:p>
            <w:pPr>
              <w:jc w:val="center"/>
              <w:ind w:left="447"/>
              <w:spacing w:after="0"/>
              <w:rPr>
                <w:sz w:val="20"/>
                <w:szCs w:val="20"/>
                <w:color w:val="auto"/>
              </w:rPr>
            </w:pPr>
            <w:r>
              <w:rPr>
                <w:rFonts w:ascii="Times New Roman" w:cs="Times New Roman" w:eastAsia="Times New Roman" w:hAnsi="Times New Roman"/>
                <w:sz w:val="17"/>
                <w:szCs w:val="17"/>
                <w:color w:val="0000FF"/>
                <w:w w:val="98"/>
              </w:rPr>
              <w:t>06/11/2026</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2,942</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center"/>
              <w:ind w:left="4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62.78</w:t>
            </w:r>
          </w:p>
        </w:tc>
        <w:tc>
          <w:tcPr>
            <w:tcW w:w="16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193,022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47"/>
              <w:spacing w:after="0"/>
              <w:rPr>
                <w:sz w:val="20"/>
                <w:szCs w:val="20"/>
                <w:color w:val="auto"/>
              </w:rPr>
            </w:pPr>
            <w:r>
              <w:rPr>
                <w:rFonts w:ascii="Times New Roman" w:cs="Times New Roman" w:eastAsia="Times New Roman" w:hAnsi="Times New Roman"/>
                <w:sz w:val="17"/>
                <w:szCs w:val="17"/>
                <w:color w:val="0000FF"/>
                <w:w w:val="98"/>
              </w:rPr>
              <w:t>06/11/2026</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19,767</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110.06</w:t>
            </w:r>
            <w:r>
              <w:rPr>
                <w:rFonts w:ascii="Times New Roman" w:cs="Times New Roman" w:eastAsia="Times New Roman" w:hAnsi="Times New Roman"/>
                <w:sz w:val="21"/>
                <w:szCs w:val="21"/>
                <w:color w:val="008000"/>
                <w:w w:val="93"/>
                <w:vertAlign w:val="superscript"/>
              </w:rPr>
              <w:t>(1)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173,255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2"/>
          </w:tcPr>
          <w:p>
            <w:pPr>
              <w:jc w:val="center"/>
              <w:ind w:left="447"/>
              <w:spacing w:after="0"/>
              <w:rPr>
                <w:sz w:val="20"/>
                <w:szCs w:val="20"/>
                <w:color w:val="auto"/>
              </w:rPr>
            </w:pPr>
            <w:r>
              <w:rPr>
                <w:rFonts w:ascii="Times New Roman" w:cs="Times New Roman" w:eastAsia="Times New Roman" w:hAnsi="Times New Roman"/>
                <w:sz w:val="17"/>
                <w:szCs w:val="17"/>
                <w:color w:val="0000FF"/>
                <w:w w:val="98"/>
              </w:rPr>
              <w:t>06/12/2026</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13,883</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center"/>
              <w:ind w:left="4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62.78</w:t>
            </w:r>
          </w:p>
        </w:tc>
        <w:tc>
          <w:tcPr>
            <w:tcW w:w="16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187,138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2"/>
          </w:tcPr>
          <w:p>
            <w:pPr>
              <w:jc w:val="center"/>
              <w:ind w:left="447"/>
              <w:spacing w:after="0"/>
              <w:rPr>
                <w:sz w:val="20"/>
                <w:szCs w:val="20"/>
                <w:color w:val="auto"/>
              </w:rPr>
            </w:pPr>
            <w:r>
              <w:rPr>
                <w:rFonts w:ascii="Times New Roman" w:cs="Times New Roman" w:eastAsia="Times New Roman" w:hAnsi="Times New Roman"/>
                <w:sz w:val="17"/>
                <w:szCs w:val="17"/>
                <w:color w:val="0000FF"/>
                <w:w w:val="98"/>
              </w:rPr>
              <w:t>06/12/2026</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16,825</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center"/>
              <w:ind w:left="4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62.78</w:t>
            </w:r>
          </w:p>
        </w:tc>
        <w:tc>
          <w:tcPr>
            <w:tcW w:w="16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203,963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47"/>
              <w:spacing w:after="0"/>
              <w:rPr>
                <w:sz w:val="20"/>
                <w:szCs w:val="20"/>
                <w:color w:val="auto"/>
              </w:rPr>
            </w:pPr>
            <w:r>
              <w:rPr>
                <w:rFonts w:ascii="Times New Roman" w:cs="Times New Roman" w:eastAsia="Times New Roman" w:hAnsi="Times New Roman"/>
                <w:sz w:val="17"/>
                <w:szCs w:val="17"/>
                <w:color w:val="0000FF"/>
                <w:w w:val="98"/>
              </w:rPr>
              <w:t>06/12/2026</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26,445</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110.48</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177,518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47"/>
              <w:spacing w:after="0"/>
              <w:rPr>
                <w:sz w:val="20"/>
                <w:szCs w:val="20"/>
                <w:color w:val="auto"/>
              </w:rPr>
            </w:pPr>
            <w:r>
              <w:rPr>
                <w:rFonts w:ascii="Times New Roman" w:cs="Times New Roman" w:eastAsia="Times New Roman" w:hAnsi="Times New Roman"/>
                <w:sz w:val="17"/>
                <w:szCs w:val="17"/>
                <w:color w:val="0000FF"/>
                <w:w w:val="98"/>
              </w:rPr>
              <w:t>06/12/2026</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4,263</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111.25</w:t>
            </w:r>
            <w:r>
              <w:rPr>
                <w:rFonts w:ascii="Times New Roman" w:cs="Times New Roman" w:eastAsia="Times New Roman" w:hAnsi="Times New Roman"/>
                <w:sz w:val="21"/>
                <w:szCs w:val="21"/>
                <w:color w:val="008000"/>
                <w:w w:val="90"/>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173,255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53,498</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6200" w:type="dxa"/>
            <w:vAlign w:val="bottom"/>
            <w:tcBorders>
              <w:bottom w:val="single" w:sz="8" w:color="2C2C2C"/>
            </w:tcBorders>
            <w:gridSpan w:val="10"/>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jc w:val="right"/>
              <w:ind w:right="9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jc w:val="right"/>
              <w:ind w:right="51"/>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jc w:val="right"/>
              <w:ind w:right="51"/>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jc w:val="right"/>
              <w:ind w:right="151"/>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jc w:val="right"/>
              <w:ind w:right="171"/>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62.78</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06/11/2026</w:t>
            </w:r>
          </w:p>
        </w:tc>
        <w:tc>
          <w:tcPr>
            <w:tcW w:w="1140" w:type="dxa"/>
            <w:vAlign w:val="bottom"/>
          </w:tcPr>
          <w:p>
            <w:pPr>
              <w:spacing w:after="0"/>
              <w:rPr>
                <w:sz w:val="20"/>
                <w:szCs w:val="20"/>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0"/>
                <w:szCs w:val="20"/>
                <w:color w:val="auto"/>
              </w:rPr>
            </w:pPr>
          </w:p>
        </w:tc>
        <w:tc>
          <w:tcPr>
            <w:tcW w:w="820" w:type="dxa"/>
            <w:vAlign w:val="bottom"/>
          </w:tcPr>
          <w:p>
            <w:pPr>
              <w:jc w:val="center"/>
              <w:ind w:left="240"/>
              <w:spacing w:after="0"/>
              <w:rPr>
                <w:sz w:val="20"/>
                <w:szCs w:val="20"/>
                <w:color w:val="auto"/>
              </w:rPr>
            </w:pPr>
            <w:r>
              <w:rPr>
                <w:rFonts w:ascii="Times New Roman" w:cs="Times New Roman" w:eastAsia="Times New Roman" w:hAnsi="Times New Roman"/>
                <w:sz w:val="13"/>
                <w:szCs w:val="13"/>
                <w:color w:val="0000FF"/>
              </w:rPr>
              <w:t>16,825</w:t>
            </w: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02/27/2018</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02/27/2027</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16,825</w:t>
            </w:r>
          </w:p>
        </w:tc>
        <w:tc>
          <w:tcPr>
            <w:tcW w:w="160" w:type="dxa"/>
            <w:vAlign w:val="bottom"/>
          </w:tcPr>
          <w:p>
            <w:pPr>
              <w:spacing w:after="0"/>
              <w:rPr>
                <w:sz w:val="20"/>
                <w:szCs w:val="20"/>
                <w:color w:val="auto"/>
              </w:rPr>
            </w:pPr>
          </w:p>
        </w:tc>
        <w:tc>
          <w:tcPr>
            <w:tcW w:w="580" w:type="dxa"/>
            <w:vAlign w:val="bottom"/>
          </w:tcPr>
          <w:p>
            <w:pPr>
              <w:jc w:val="right"/>
              <w:ind w:right="15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62.78</w:t>
            </w:r>
          </w:p>
        </w:tc>
        <w:tc>
          <w:tcPr>
            <w:tcW w:w="60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62.78</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06/11/2026</w:t>
            </w:r>
          </w:p>
        </w:tc>
        <w:tc>
          <w:tcPr>
            <w:tcW w:w="1140" w:type="dxa"/>
            <w:vAlign w:val="bottom"/>
          </w:tcPr>
          <w:p>
            <w:pPr>
              <w:spacing w:after="0"/>
              <w:rPr>
                <w:sz w:val="15"/>
                <w:szCs w:val="15"/>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5"/>
                <w:szCs w:val="15"/>
                <w:color w:val="auto"/>
              </w:rPr>
            </w:pPr>
          </w:p>
        </w:tc>
        <w:tc>
          <w:tcPr>
            <w:tcW w:w="820" w:type="dxa"/>
            <w:vAlign w:val="bottom"/>
            <w:vMerge w:val="restart"/>
          </w:tcPr>
          <w:p>
            <w:pPr>
              <w:jc w:val="center"/>
              <w:ind w:left="260"/>
              <w:spacing w:after="0"/>
              <w:rPr>
                <w:sz w:val="20"/>
                <w:szCs w:val="20"/>
                <w:color w:val="auto"/>
              </w:rPr>
            </w:pPr>
            <w:r>
              <w:rPr>
                <w:rFonts w:ascii="Times New Roman" w:cs="Times New Roman" w:eastAsia="Times New Roman" w:hAnsi="Times New Roman"/>
                <w:sz w:val="13"/>
                <w:szCs w:val="13"/>
                <w:color w:val="0000FF"/>
              </w:rPr>
              <w:t>2,942</w:t>
            </w: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02/27/2019</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02/27/2027</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2,942</w:t>
            </w:r>
          </w:p>
        </w:tc>
        <w:tc>
          <w:tcPr>
            <w:tcW w:w="160" w:type="dxa"/>
            <w:vAlign w:val="bottom"/>
          </w:tcPr>
          <w:p>
            <w:pPr>
              <w:spacing w:after="0"/>
              <w:rPr>
                <w:sz w:val="15"/>
                <w:szCs w:val="15"/>
                <w:color w:val="auto"/>
              </w:rPr>
            </w:pPr>
          </w:p>
        </w:tc>
        <w:tc>
          <w:tcPr>
            <w:tcW w:w="580" w:type="dxa"/>
            <w:vAlign w:val="bottom"/>
            <w:vMerge w:val="restart"/>
          </w:tcPr>
          <w:p>
            <w:pPr>
              <w:jc w:val="right"/>
              <w:ind w:right="15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62.78</w:t>
            </w:r>
          </w:p>
        </w:tc>
        <w:tc>
          <w:tcPr>
            <w:tcW w:w="600" w:type="dxa"/>
            <w:vAlign w:val="bottom"/>
            <w:vMerge w:val="restart"/>
          </w:tcPr>
          <w:p>
            <w:pPr>
              <w:jc w:val="center"/>
              <w:ind w:left="180"/>
              <w:spacing w:after="0"/>
              <w:rPr>
                <w:sz w:val="20"/>
                <w:szCs w:val="20"/>
                <w:color w:val="auto"/>
              </w:rPr>
            </w:pPr>
            <w:r>
              <w:rPr>
                <w:rFonts w:ascii="Times New Roman" w:cs="Times New Roman" w:eastAsia="Times New Roman" w:hAnsi="Times New Roman"/>
                <w:sz w:val="13"/>
                <w:szCs w:val="13"/>
                <w:color w:val="0000FF"/>
              </w:rPr>
              <w:t>13,883</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62.78</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06/12/2026</w:t>
            </w:r>
          </w:p>
        </w:tc>
        <w:tc>
          <w:tcPr>
            <w:tcW w:w="1140" w:type="dxa"/>
            <w:vAlign w:val="bottom"/>
          </w:tcPr>
          <w:p>
            <w:pPr>
              <w:spacing w:after="0"/>
              <w:rPr>
                <w:sz w:val="20"/>
                <w:szCs w:val="20"/>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0"/>
                <w:szCs w:val="20"/>
                <w:color w:val="auto"/>
              </w:rPr>
            </w:pPr>
          </w:p>
        </w:tc>
        <w:tc>
          <w:tcPr>
            <w:tcW w:w="820" w:type="dxa"/>
            <w:vAlign w:val="bottom"/>
          </w:tcPr>
          <w:p>
            <w:pPr>
              <w:jc w:val="center"/>
              <w:ind w:left="240"/>
              <w:spacing w:after="0"/>
              <w:rPr>
                <w:sz w:val="20"/>
                <w:szCs w:val="20"/>
                <w:color w:val="auto"/>
              </w:rPr>
            </w:pPr>
            <w:r>
              <w:rPr>
                <w:rFonts w:ascii="Times New Roman" w:cs="Times New Roman" w:eastAsia="Times New Roman" w:hAnsi="Times New Roman"/>
                <w:sz w:val="13"/>
                <w:szCs w:val="13"/>
                <w:color w:val="0000FF"/>
              </w:rPr>
              <w:t>13,883</w:t>
            </w: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02/27/2019</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02/27/2027</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13,883</w:t>
            </w:r>
          </w:p>
        </w:tc>
        <w:tc>
          <w:tcPr>
            <w:tcW w:w="160" w:type="dxa"/>
            <w:vAlign w:val="bottom"/>
          </w:tcPr>
          <w:p>
            <w:pPr>
              <w:spacing w:after="0"/>
              <w:rPr>
                <w:sz w:val="20"/>
                <w:szCs w:val="20"/>
                <w:color w:val="auto"/>
              </w:rPr>
            </w:pPr>
          </w:p>
        </w:tc>
        <w:tc>
          <w:tcPr>
            <w:tcW w:w="580" w:type="dxa"/>
            <w:vAlign w:val="bottom"/>
          </w:tcPr>
          <w:p>
            <w:pPr>
              <w:jc w:val="right"/>
              <w:ind w:right="15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62.78</w:t>
            </w:r>
          </w:p>
        </w:tc>
        <w:tc>
          <w:tcPr>
            <w:tcW w:w="60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62.78</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06/12/2026</w:t>
            </w:r>
          </w:p>
        </w:tc>
        <w:tc>
          <w:tcPr>
            <w:tcW w:w="1140" w:type="dxa"/>
            <w:vAlign w:val="bottom"/>
          </w:tcPr>
          <w:p>
            <w:pPr>
              <w:spacing w:after="0"/>
              <w:rPr>
                <w:sz w:val="20"/>
                <w:szCs w:val="20"/>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0"/>
                <w:szCs w:val="20"/>
                <w:color w:val="auto"/>
              </w:rPr>
            </w:pPr>
          </w:p>
        </w:tc>
        <w:tc>
          <w:tcPr>
            <w:tcW w:w="820" w:type="dxa"/>
            <w:vAlign w:val="bottom"/>
          </w:tcPr>
          <w:p>
            <w:pPr>
              <w:jc w:val="center"/>
              <w:ind w:left="240"/>
              <w:spacing w:after="0"/>
              <w:rPr>
                <w:sz w:val="20"/>
                <w:szCs w:val="20"/>
                <w:color w:val="auto"/>
              </w:rPr>
            </w:pPr>
            <w:r>
              <w:rPr>
                <w:rFonts w:ascii="Times New Roman" w:cs="Times New Roman" w:eastAsia="Times New Roman" w:hAnsi="Times New Roman"/>
                <w:sz w:val="13"/>
                <w:szCs w:val="13"/>
                <w:color w:val="0000FF"/>
              </w:rPr>
              <w:t>16,825</w:t>
            </w: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02/27/2020</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02/27/2027</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16,825</w:t>
            </w:r>
          </w:p>
        </w:tc>
        <w:tc>
          <w:tcPr>
            <w:tcW w:w="160" w:type="dxa"/>
            <w:vAlign w:val="bottom"/>
          </w:tcPr>
          <w:p>
            <w:pPr>
              <w:spacing w:after="0"/>
              <w:rPr>
                <w:sz w:val="20"/>
                <w:szCs w:val="20"/>
                <w:color w:val="auto"/>
              </w:rPr>
            </w:pPr>
          </w:p>
        </w:tc>
        <w:tc>
          <w:tcPr>
            <w:tcW w:w="580" w:type="dxa"/>
            <w:vAlign w:val="bottom"/>
          </w:tcPr>
          <w:p>
            <w:pPr>
              <w:jc w:val="right"/>
              <w:ind w:right="15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62.78</w:t>
            </w:r>
          </w:p>
        </w:tc>
        <w:tc>
          <w:tcPr>
            <w:tcW w:w="60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-2705735</wp:posOffset>
            </wp:positionV>
            <wp:extent cx="29210" cy="271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71145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$110.00 to $110.19, inclusive. The reporting person undertakes to provide Principal Financial Group, Inc., any security holder of Principal Financial Group, Inc., or the staff of the Securities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40" w:right="2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$110.00 to $110.98, inclusive. The reporting person undertakes to provide Principal Financial Group, Inc., any security holder of Principal Financial Group, Inc., or the staff of the Securities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40" w:right="2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$111.00 to $110.39, inclusive. The reporting person undertakes to provide Principal Financial Group, Inc., any security holder of Principal Financial Group, Inc., or the staff of the Securities Exchange Commission, upon request, full information regarding the number of shares sold at each separate price within the ranges set forth in this footnote.</w:t>
      </w:r>
    </w:p>
    <w:p>
      <w:pPr>
        <w:spacing w:after="0" w:line="3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Chris Agbe-Davies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06/15/2026</w:t>
            </w:r>
          </w:p>
        </w:tc>
        <w:tc>
          <w:tcPr>
            <w:tcW w:w="0" w:type="dxa"/>
            <w:vAlign w:val="bottom"/>
          </w:tcPr>
          <w:p>
            <w:pPr>
              <w:spacing w:after="0"/>
              <w:rPr>
                <w:sz w:val="1"/>
                <w:szCs w:val="1"/>
                <w:color w:val="auto"/>
              </w:rPr>
            </w:pPr>
          </w:p>
        </w:tc>
      </w:tr>
      <w:tr>
        <w:trPr>
          <w:trHeight w:val="88"/>
        </w:trPr>
        <w:tc>
          <w:tcPr>
            <w:tcW w:w="112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340" w:type="dxa"/>
            <w:vAlign w:val="bottom"/>
            <w:tcBorders>
              <w:top w:val="single" w:sz="8" w:color="auto"/>
              <w:bottom w:val="single" w:sz="8" w:color="auto"/>
            </w:tcBorders>
            <w:vMerge w:val="restart"/>
          </w:tcPr>
          <w:p>
            <w:pPr>
              <w:spacing w:after="0"/>
              <w:rPr>
                <w:sz w:val="7"/>
                <w:szCs w:val="7"/>
                <w:color w:val="auto"/>
              </w:rPr>
            </w:pPr>
          </w:p>
        </w:tc>
        <w:tc>
          <w:tcPr>
            <w:tcW w:w="7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20" w:type="dxa"/>
            <w:vAlign w:val="bottom"/>
            <w:tcBorders>
              <w:bottom w:val="single" w:sz="8" w:color="auto"/>
            </w:tcBorders>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2519"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8726" TargetMode="External"/><Relationship Id="rId14" Type="http://schemas.openxmlformats.org/officeDocument/2006/relationships/hyperlink" Target="http://www.sec.gov/cgi-bin/browse-edgar?action=getcompany&amp;CIK=00011263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2026-06-15T16:40:18Z</dcterms:created>
  <dcterms:modified xsi:type="dcterms:W3CDTF">2026-06-15T16:40:18Z</dcterms:modified>
</cp:coreProperties>
</file>