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60" w:type="dxa"/>
            <w:vAlign w:val="bottom"/>
            <w:gridSpan w:val="4"/>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STRABLE-SOETHOUT DEANNA D</w:t>
              </w:r>
            </w:hyperlink>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8"/>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PRINCIPAL FINANCIAL GROUP INC </w:t>
              </w:r>
            </w:hyperlink>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1700" w:type="dxa"/>
            <w:vAlign w:val="bottom"/>
            <w:gridSpan w:val="4"/>
            <w:vMerge w:val="restart"/>
          </w:tcPr>
          <w:p>
            <w:pPr>
              <w:ind w:left="80"/>
              <w:spacing w:after="0" w:line="159" w:lineRule="exact"/>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gridSpan w:val="4"/>
            <w:vMerge w:val="continu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360" w:type="dxa"/>
            <w:vAlign w:val="bottom"/>
            <w:tcBorders>
              <w:bottom w:val="single" w:sz="8" w:color="0000EE"/>
            </w:tcBorders>
            <w:gridSpan w:val="4"/>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PFG</w:t>
            </w:r>
          </w:p>
        </w:tc>
        <w:tc>
          <w:tcPr>
            <w:tcW w:w="220" w:type="dxa"/>
            <w:vAlign w:val="bottom"/>
            <w:vMerge w:val="restart"/>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360" w:type="dxa"/>
            <w:vAlign w:val="bottom"/>
            <w:gridSpan w:val="4"/>
          </w:tcPr>
          <w:p>
            <w:pPr>
              <w:spacing w:after="0"/>
              <w:rPr>
                <w:sz w:val="4"/>
                <w:szCs w:val="4"/>
                <w:color w:val="auto"/>
              </w:rPr>
            </w:pPr>
          </w:p>
        </w:tc>
        <w:tc>
          <w:tcPr>
            <w:tcW w:w="3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0000FF"/>
              </w:rPr>
              <w:t>X</w:t>
            </w:r>
          </w:p>
        </w:tc>
        <w:tc>
          <w:tcPr>
            <w:tcW w:w="1220" w:type="dxa"/>
            <w:vAlign w:val="bottom"/>
            <w:gridSpan w:val="2"/>
          </w:tcPr>
          <w:p>
            <w:pPr>
              <w:ind w:left="140"/>
              <w:spacing w:after="0" w:line="140"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12"/>
                <w:szCs w:val="12"/>
                <w:color w:val="auto"/>
              </w:rPr>
            </w:pPr>
          </w:p>
        </w:tc>
        <w:tc>
          <w:tcPr>
            <w:tcW w:w="1540" w:type="dxa"/>
            <w:vAlign w:val="bottom"/>
            <w:gridSpan w:val="4"/>
          </w:tcPr>
          <w:p>
            <w:pPr>
              <w:ind w:left="260"/>
              <w:spacing w:after="0" w:line="140"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tcBorders>
              <w:top w:val="single" w:sz="8" w:color="EEEEEE"/>
              <w:bottom w:val="single" w:sz="8" w:color="EEEEEE"/>
            </w:tcBorders>
            <w:gridSpan w:val="2"/>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60" w:type="dxa"/>
            <w:vAlign w:val="bottom"/>
            <w:gridSpan w:val="7"/>
            <w:vMerge w:val="restart"/>
          </w:tcPr>
          <w:p>
            <w:pPr>
              <w:ind w:left="220"/>
              <w:spacing w:after="0"/>
              <w:rPr>
                <w:sz w:val="20"/>
                <w:szCs w:val="20"/>
                <w:color w:val="auto"/>
              </w:rPr>
            </w:pPr>
            <w:r>
              <w:rPr>
                <w:rFonts w:ascii="Times New Roman" w:cs="Times New Roman" w:eastAsia="Times New Roman" w:hAnsi="Times New Roman"/>
                <w:sz w:val="18"/>
                <w:szCs w:val="18"/>
                <w:color w:val="0000FF"/>
              </w:rPr>
              <w:t>President - US Ins. Solutions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9"/>
              </w:rPr>
              <w:t>711 HIGH STREET</w:t>
            </w: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0000FF"/>
              </w:rPr>
              <w:t>12/12/2016</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4"/>
          </w:tcPr>
          <w:p>
            <w:pPr>
              <w:spacing w:after="0"/>
              <w:rPr>
                <w:sz w:val="9"/>
                <w:szCs w:val="9"/>
                <w:color w:val="auto"/>
              </w:rPr>
            </w:pPr>
          </w:p>
        </w:tc>
        <w:tc>
          <w:tcPr>
            <w:tcW w:w="2060" w:type="dxa"/>
            <w:vAlign w:val="bottom"/>
            <w:tcBorders>
              <w:bottom w:val="single" w:sz="8" w:color="2C2C2C"/>
            </w:tcBorders>
            <w:gridSpan w:val="3"/>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6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660" w:type="dxa"/>
            <w:vAlign w:val="bottom"/>
            <w:gridSpan w:val="8"/>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DES MOINES   IA</w:t>
            </w:r>
          </w:p>
        </w:tc>
        <w:tc>
          <w:tcPr>
            <w:tcW w:w="1040" w:type="dxa"/>
            <w:vAlign w:val="bottom"/>
          </w:tcPr>
          <w:p>
            <w:pPr>
              <w:spacing w:after="0"/>
              <w:rPr>
                <w:sz w:val="21"/>
                <w:szCs w:val="21"/>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50392</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7480" w:type="dxa"/>
            <w:vAlign w:val="bottom"/>
            <w:tcBorders>
              <w:top w:val="single" w:sz="8" w:color="2C2C2C"/>
            </w:tcBorders>
            <w:gridSpan w:val="18"/>
          </w:tcPr>
          <w:p>
            <w:pPr>
              <w:ind w:left="7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6"/>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0" w:type="dxa"/>
            <w:vAlign w:val="bottom"/>
            <w:gridSpan w:val="6"/>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Pr>
          <w:p>
            <w:pPr>
              <w:spacing w:after="0"/>
              <w:rPr>
                <w:sz w:val="22"/>
                <w:szCs w:val="22"/>
                <w:color w:val="auto"/>
              </w:rPr>
            </w:pPr>
          </w:p>
        </w:tc>
        <w:tc>
          <w:tcPr>
            <w:tcW w:w="1800" w:type="dxa"/>
            <w:vAlign w:val="bottom"/>
            <w:gridSpan w:val="6"/>
            <w:vMerge w:val="restart"/>
          </w:tcPr>
          <w:p>
            <w:pPr>
              <w:ind w:left="800"/>
              <w:spacing w:after="0"/>
              <w:rPr>
                <w:sz w:val="20"/>
                <w:szCs w:val="20"/>
                <w:color w:val="auto"/>
              </w:rPr>
            </w:pPr>
            <w:r>
              <w:rPr>
                <w:rFonts w:ascii="Times New Roman" w:cs="Times New Roman" w:eastAsia="Times New Roman" w:hAnsi="Times New Roman"/>
                <w:sz w:val="18"/>
                <w:szCs w:val="18"/>
                <w:color w:val="0000FF"/>
              </w:rPr>
              <w:t>12/12/2016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27"/>
                <w:szCs w:val="27"/>
                <w:color w:val="0000FF"/>
                <w:w w:val="83"/>
                <w:vertAlign w:val="subscript"/>
              </w:rPr>
              <w:t>M</w:t>
            </w:r>
            <w:r>
              <w:rPr>
                <w:rFonts w:ascii="Times New Roman" w:cs="Times New Roman" w:eastAsia="Times New Roman" w:hAnsi="Times New Roman"/>
                <w:sz w:val="11"/>
                <w:szCs w:val="11"/>
                <w:color w:val="008000"/>
                <w:w w:val="83"/>
              </w:rPr>
              <w:t>(1)</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6,549</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0000FF"/>
              </w:rPr>
              <w:t>A</w:t>
            </w:r>
          </w:p>
        </w:tc>
        <w:tc>
          <w:tcPr>
            <w:tcW w:w="720" w:type="dxa"/>
            <w:vAlign w:val="bottom"/>
            <w:gridSpan w:val="3"/>
            <w:vMerge w:val="restart"/>
          </w:tcPr>
          <w:p>
            <w:pPr>
              <w:ind w:left="1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11.07</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0000FF"/>
              </w:rPr>
              <w:t>43,308</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tcPr>
          <w:p>
            <w:pPr>
              <w:spacing w:after="0"/>
              <w:rPr>
                <w:sz w:val="22"/>
                <w:szCs w:val="22"/>
                <w:color w:val="auto"/>
              </w:rPr>
            </w:pPr>
          </w:p>
        </w:tc>
        <w:tc>
          <w:tcPr>
            <w:tcW w:w="1800" w:type="dxa"/>
            <w:vAlign w:val="bottom"/>
            <w:gridSpan w:val="6"/>
            <w:vMerge w:val="restart"/>
          </w:tcPr>
          <w:p>
            <w:pPr>
              <w:ind w:left="800"/>
              <w:spacing w:after="0"/>
              <w:rPr>
                <w:sz w:val="20"/>
                <w:szCs w:val="20"/>
                <w:color w:val="auto"/>
              </w:rPr>
            </w:pPr>
            <w:r>
              <w:rPr>
                <w:rFonts w:ascii="Times New Roman" w:cs="Times New Roman" w:eastAsia="Times New Roman" w:hAnsi="Times New Roman"/>
                <w:sz w:val="18"/>
                <w:szCs w:val="18"/>
                <w:color w:val="0000FF"/>
              </w:rPr>
              <w:t>12/12/2016</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27"/>
                <w:szCs w:val="27"/>
                <w:color w:val="0000FF"/>
                <w:w w:val="87"/>
                <w:vertAlign w:val="subscript"/>
              </w:rPr>
              <w:t>S</w:t>
            </w:r>
            <w:r>
              <w:rPr>
                <w:rFonts w:ascii="Times New Roman" w:cs="Times New Roman" w:eastAsia="Times New Roman" w:hAnsi="Times New Roman"/>
                <w:sz w:val="11"/>
                <w:szCs w:val="11"/>
                <w:color w:val="008000"/>
                <w:w w:val="87"/>
              </w:rPr>
              <w:t>(1)</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6,549</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3"/>
            <w:vMerge w:val="restart"/>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60.08</w:t>
            </w:r>
            <w:r>
              <w:rPr>
                <w:rFonts w:ascii="Times New Roman" w:cs="Times New Roman" w:eastAsia="Times New Roman" w:hAnsi="Times New Roman"/>
                <w:sz w:val="22"/>
                <w:szCs w:val="22"/>
                <w:color w:val="008000"/>
                <w:vertAlign w:val="superscript"/>
              </w:rPr>
              <w:t>(2)</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0000FF"/>
              </w:rPr>
              <w:t>36,759</w:t>
            </w:r>
          </w:p>
        </w:tc>
        <w:tc>
          <w:tcPr>
            <w:tcW w:w="30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040" w:type="dxa"/>
            <w:vAlign w:val="bottom"/>
          </w:tcPr>
          <w:p>
            <w:pPr>
              <w:spacing w:after="0"/>
              <w:rPr>
                <w:sz w:val="15"/>
                <w:szCs w:val="15"/>
                <w:color w:val="auto"/>
              </w:rPr>
            </w:pPr>
          </w:p>
        </w:tc>
        <w:tc>
          <w:tcPr>
            <w:tcW w:w="180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206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8"/>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Employee</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spacing w:after="0" w:line="283" w:lineRule="exact"/>
              <w:rPr>
                <w:sz w:val="20"/>
                <w:szCs w:val="20"/>
                <w:color w:val="auto"/>
              </w:rPr>
            </w:pPr>
            <w:r>
              <w:rPr>
                <w:rFonts w:ascii="Times New Roman" w:cs="Times New Roman" w:eastAsia="Times New Roman" w:hAnsi="Times New Roman"/>
                <w:sz w:val="27"/>
                <w:szCs w:val="27"/>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6,549</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0000FF"/>
              </w:rPr>
              <w:t>Option</w:t>
            </w:r>
          </w:p>
        </w:tc>
        <w:tc>
          <w:tcPr>
            <w:tcW w:w="860" w:type="dxa"/>
            <w:vAlign w:val="bottom"/>
          </w:tcPr>
          <w:p>
            <w:pPr>
              <w:ind w:left="2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11.07</w:t>
            </w:r>
          </w:p>
        </w:tc>
        <w:tc>
          <w:tcPr>
            <w:tcW w:w="104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0000FF"/>
              </w:rPr>
              <w:t>12/12/2016</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400"/>
              <w:spacing w:after="0" w:line="135" w:lineRule="exact"/>
              <w:rPr>
                <w:sz w:val="20"/>
                <w:szCs w:val="20"/>
                <w:color w:val="auto"/>
              </w:rPr>
            </w:pPr>
            <w:r>
              <w:rPr>
                <w:rFonts w:ascii="Times New Roman" w:cs="Times New Roman" w:eastAsia="Times New Roman" w:hAnsi="Times New Roman"/>
                <w:sz w:val="14"/>
                <w:szCs w:val="14"/>
                <w:color w:val="0000FF"/>
              </w:rPr>
              <w:t>6,549</w:t>
            </w:r>
          </w:p>
        </w:tc>
        <w:tc>
          <w:tcPr>
            <w:tcW w:w="82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0000FF"/>
              </w:rPr>
              <w:t>02/24/2012</w:t>
            </w:r>
          </w:p>
        </w:tc>
        <w:tc>
          <w:tcPr>
            <w:tcW w:w="740" w:type="dxa"/>
            <w:vAlign w:val="bottom"/>
          </w:tcPr>
          <w:p>
            <w:pPr>
              <w:ind w:left="40"/>
              <w:spacing w:after="0" w:line="135" w:lineRule="exact"/>
              <w:rPr>
                <w:sz w:val="20"/>
                <w:szCs w:val="20"/>
                <w:color w:val="auto"/>
              </w:rPr>
            </w:pPr>
            <w:r>
              <w:rPr>
                <w:rFonts w:ascii="Times New Roman" w:cs="Times New Roman" w:eastAsia="Times New Roman" w:hAnsi="Times New Roman"/>
                <w:sz w:val="14"/>
                <w:szCs w:val="14"/>
                <w:color w:val="0000FF"/>
              </w:rPr>
              <w:t>02/24/2019</w:t>
            </w:r>
          </w:p>
        </w:tc>
        <w:tc>
          <w:tcPr>
            <w:tcW w:w="70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0000FF"/>
              </w:rPr>
              <w:t>1,406</w:t>
            </w:r>
          </w:p>
        </w:tc>
        <w:tc>
          <w:tcPr>
            <w:tcW w:w="300" w:type="dxa"/>
            <w:vAlign w:val="bottom"/>
          </w:tcPr>
          <w:p>
            <w:pPr>
              <w:spacing w:after="0"/>
              <w:rPr>
                <w:sz w:val="11"/>
                <w:szCs w:val="11"/>
                <w:color w:val="auto"/>
              </w:rPr>
            </w:pPr>
          </w:p>
        </w:tc>
        <w:tc>
          <w:tcPr>
            <w:tcW w:w="70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0000FF"/>
              </w:rPr>
              <w:t>I</w:t>
            </w:r>
          </w:p>
        </w:tc>
        <w:tc>
          <w:tcPr>
            <w:tcW w:w="840" w:type="dxa"/>
            <w:vAlign w:val="bottom"/>
            <w:gridSpan w:val="3"/>
          </w:tcPr>
          <w:p>
            <w:pPr>
              <w:ind w:left="140"/>
              <w:spacing w:after="0" w:line="135" w:lineRule="exact"/>
              <w:rPr>
                <w:sz w:val="20"/>
                <w:szCs w:val="20"/>
                <w:color w:val="auto"/>
              </w:rPr>
            </w:pPr>
            <w:r>
              <w:rPr>
                <w:rFonts w:ascii="Times New Roman" w:cs="Times New Roman" w:eastAsia="Times New Roman" w:hAnsi="Times New Roman"/>
                <w:sz w:val="14"/>
                <w:szCs w:val="14"/>
                <w:color w:val="0000FF"/>
              </w:rPr>
              <w:t>By Spouse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a Rule 10b5-1 trading plan adopted by the reporting person on November 11, 2016.</w:t>
      </w:r>
    </w:p>
    <w:p>
      <w:pPr>
        <w:spacing w:after="0" w:line="41" w:lineRule="exact"/>
        <w:rPr>
          <w:rFonts w:ascii="Times New Roman" w:cs="Times New Roman" w:eastAsia="Times New Roman" w:hAnsi="Times New Roman"/>
          <w:sz w:val="14"/>
          <w:szCs w:val="14"/>
          <w:color w:val="008000"/>
        </w:rPr>
      </w:pPr>
    </w:p>
    <w:p>
      <w:pPr>
        <w:ind w:left="40" w:right="30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sold in multiple transactions at prices ranging from $60.00 - $60.30, inclusive. The reporting person undertakes to provide to Principal Financial Group, Inc., any security holder of Principal Financial Group, Inc., or the staff of the Securities and Exchange Commission, upon request, full information regarding the number of shares sold at each separate price within the ranges set forth in this footnote.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Patrick A. Kirchner, by Power</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12/13/2016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8726" TargetMode="External"/><Relationship Id="rId13" Type="http://schemas.openxmlformats.org/officeDocument/2006/relationships/hyperlink" Target="http://www.sec.gov/cgi-bin/browse-edgar?action=getcompany&amp;CIK=00011263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2020-01-19T10:10:20Z</dcterms:created>
  <dcterms:modified xsi:type="dcterms:W3CDTF">2020-01-19T10:10:20Z</dcterms:modified>
</cp:coreProperties>
</file>