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39d1_8k.htm"/>
      <w:bookmarkStart w:id="1" w:name="kstm262773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C_edei--DocumentType_c20261019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w:t>
      </w:r>
      <w:bookmarkStart w:id="3" w:name="xdx_908_edei--DocumentPeriodEndDate_c202"/>
      <w:bookmarkEnd w:id="3"/>
      <w:r>
        <w:rPr>
          <w:rFonts w:ascii="Times New Roman;Times;Serif" w:hAnsi="Times New Roman;Times;Serif"/>
          <w:b w:val="false"/>
          <w:i w:val="false"/>
          <w:caps w:val="false"/>
          <w:smallCaps w:val="false"/>
          <w:sz w:val="20"/>
        </w:rPr>
        <w:t>October 19,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3_edei--EntityRegistrantName_c2026"/>
      <w:bookmarkEnd w:id="4"/>
      <w:r>
        <w:rPr>
          <w:rFonts w:ascii="Times New Roman;Times;Serif" w:hAnsi="Times New Roman;Times;Serif"/>
          <w:b/>
          <w:i w:val="false"/>
          <w:caps w:val="false"/>
          <w:smallCaps w:val="false"/>
          <w:sz w:val="28"/>
        </w:rPr>
        <w:t>PRINCIPAL FINANCIAL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pPr>
      <w:r>
        <w:rPr/>
        <w:t> </w:t>
      </w:r>
    </w:p>
    <w:tbl>
      <w:tblPr>
        <w:tblW w:w="6195" w:type="dxa"/>
        <w:jc w:val="left"/>
        <w:tblInd w:w="0" w:type="dxa"/>
        <w:tblLayout w:type="fixed"/>
        <w:tblCellMar>
          <w:top w:w="0" w:type="dxa"/>
          <w:left w:w="0" w:type="dxa"/>
          <w:bottom w:w="0" w:type="dxa"/>
          <w:right w:w="0" w:type="dxa"/>
        </w:tblCellMar>
      </w:tblPr>
      <w:tblGrid>
        <w:gridCol w:w="2165"/>
        <w:gridCol w:w="2135"/>
        <w:gridCol w:w="18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2135"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1019"/>
            <w:bookmarkEnd w:id="6"/>
            <w:r>
              <w:rPr>
                <w:rFonts w:ascii="Times New Roman;Times;Serif" w:hAnsi="Times New Roman;Times;Serif"/>
                <w:b/>
                <w:sz w:val="20"/>
              </w:rPr>
              <w:t>1-16725</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42-1520346</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1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1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711 High Street, </w:t>
      </w:r>
      <w:bookmarkStart w:id="9" w:name="xdx_900_edei--EntityAddressCityOrTown_c2"/>
      <w:bookmarkEnd w:id="9"/>
      <w:r>
        <w:rPr>
          <w:rFonts w:ascii="Times New Roman;Times;Serif" w:hAnsi="Times New Roman;Times;Serif"/>
          <w:b/>
          <w:i w:val="false"/>
          <w:caps w:val="false"/>
          <w:smallCaps w:val="false"/>
          <w:sz w:val="20"/>
        </w:rPr>
        <w:t xml:space="preserve">Des Moines, </w:t>
      </w:r>
      <w:bookmarkStart w:id="10" w:name="xdx_904_edei--EntityAddressStateOrProvin"/>
      <w:bookmarkEnd w:id="10"/>
      <w:r>
        <w:rPr>
          <w:rFonts w:ascii="Times New Roman;Times;Serif" w:hAnsi="Times New Roman;Times;Serif"/>
          <w:b/>
          <w:i w:val="false"/>
          <w:caps w:val="false"/>
          <w:smallCaps w:val="false"/>
          <w:sz w:val="20"/>
        </w:rPr>
        <w:t>Iowa</w:t>
      </w:r>
      <w:r>
        <w:rPr>
          <w:rFonts w:ascii="Times New Roman;Times;Serif" w:hAnsi="Times New Roman;Times;Serif"/>
          <w:b w:val="false"/>
          <w:i w:val="false"/>
          <w:caps w:val="false"/>
          <w:smallCaps w:val="false"/>
          <w:sz w:val="20"/>
        </w:rPr>
        <w:t xml:space="preserve"> </w:t>
      </w:r>
      <w:bookmarkStart w:id="11" w:name="xdx_90C_edei--EntityAddressPostalZipCode"/>
      <w:bookmarkEnd w:id="11"/>
      <w:r>
        <w:rPr>
          <w:rFonts w:ascii="Times New Roman;Times;Serif" w:hAnsi="Times New Roman;Times;Serif"/>
          <w:b/>
          <w:i w:val="false"/>
          <w:caps w:val="false"/>
          <w:smallCaps w:val="false"/>
          <w:sz w:val="20"/>
        </w:rPr>
        <w:t>50392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1019__20"/>
      <w:bookmarkEnd w:id="12"/>
      <w:r>
        <w:rPr>
          <w:rFonts w:ascii="Times New Roman;Times;Serif" w:hAnsi="Times New Roman;Times;Serif"/>
          <w:b/>
          <w:i w:val="false"/>
          <w:caps w:val="false"/>
          <w:smallCaps w:val="false"/>
          <w:sz w:val="20"/>
        </w:rPr>
        <w:t xml:space="preserve">515) </w:t>
      </w:r>
      <w:bookmarkStart w:id="13" w:name="xdx_90E_edei--LocalPhoneNumber_c20261019"/>
      <w:bookmarkEnd w:id="13"/>
      <w:r>
        <w:rPr>
          <w:rFonts w:ascii="Times New Roman;Times;Serif" w:hAnsi="Times New Roman;Times;Serif"/>
          <w:b/>
          <w:i w:val="false"/>
          <w:caps w:val="false"/>
          <w:smallCaps w:val="false"/>
          <w:sz w:val="20"/>
        </w:rPr>
        <w:t>247-5111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F_edei--SolicitingMaterial_c202610"/>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(§203.405 of this chapter) or rule 12b-2 of the Securities Exchange Act of 1934 (§240.12b-2 of this chapter).</w:t>
            </w:r>
          </w:p>
        </w:tc>
      </w:tr>
    </w:tbl>
    <w:p>
      <w:pPr>
        <w:pStyle w:val="TextBody"/>
        <w:bidi w:val="0"/>
        <w:spacing w:before="0" w:after="283"/>
        <w:jc w:val="left"/>
        <w:rPr/>
      </w:pPr>
      <w:r>
        <w:rPr/>
        <w:t> </w:t>
      </w:r>
    </w:p>
    <w:p>
      <w:pPr>
        <w:pStyle w:val="TextBody"/>
        <w:bidi w:val="0"/>
        <w:ind w:left="0" w:right="360" w:hanging="0"/>
        <w:jc w:val="right"/>
        <w:rPr/>
      </w:pPr>
      <w:r>
        <w:rPr/>
        <w:t>      </w:t>
      </w:r>
      <w:r>
        <w:rPr>
          <w:sz w:val="20"/>
        </w:rPr>
        <w:t>Emerging growth company    </w:t>
      </w:r>
      <w:bookmarkStart w:id="18" w:name="xdx_90E_edei--EntityEmergingGrowthCompan"/>
      <w:bookmarkEnd w:id="18"/>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283"/>
        <w:jc w:val="left"/>
        <w:rPr/>
      </w:pPr>
      <w:r>
        <w:rPr/>
        <w:t> </w:t>
      </w:r>
    </w:p>
    <w:tbl>
      <w:tblPr>
        <w:tblW w:w="6945" w:type="dxa"/>
        <w:jc w:val="left"/>
        <w:tblInd w:w="0" w:type="dxa"/>
        <w:tblLayout w:type="fixed"/>
        <w:tblCellMar>
          <w:top w:w="0" w:type="dxa"/>
          <w:left w:w="0" w:type="dxa"/>
          <w:bottom w:w="28" w:type="dxa"/>
          <w:right w:w="0" w:type="dxa"/>
        </w:tblCellMar>
      </w:tblPr>
      <w:tblGrid>
        <w:gridCol w:w="1535"/>
        <w:gridCol w:w="60"/>
        <w:gridCol w:w="158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1019"/>
            <w:bookmarkEnd w:id="19"/>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TradingSymbol_c20261019__2"/>
            <w:bookmarkEnd w:id="20"/>
            <w:r>
              <w:rPr>
                <w:rFonts w:ascii="Times New Roman;Times;Serif" w:hAnsi="Times New Roman;Times;Serif"/>
                <w:sz w:val="20"/>
              </w:rPr>
              <w:t>PFG</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1_edei--SecurityExchangeName_c2026"/>
            <w:bookmarkEnd w:id="21"/>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98" w:type="dxa"/>
        <w:jc w:val="left"/>
        <w:tblInd w:w="0" w:type="dxa"/>
        <w:tblLayout w:type="fixed"/>
        <w:tblCellMar>
          <w:top w:w="0" w:type="dxa"/>
          <w:left w:w="0" w:type="dxa"/>
          <w:bottom w:w="0" w:type="dxa"/>
          <w:right w:w="0" w:type="dxa"/>
        </w:tblCellMar>
      </w:tblPr>
      <w:tblGrid>
        <w:gridCol w:w="38"/>
        <w:gridCol w:w="81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filed quarterly to disclose assets under management (“AUM”) by asset manager, prior to the availability of Principal Financial Group, Inc's (the "Company") quarterly earnings release. The amounts presented herein will be consistent with the format of AUM by asset manager and presented again in such format within the Company's financial supplement for the quarter ended September 30, 2026, when that document is posted to the Company's investor relations website on or about October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assets under management for Principal Financial Group were $785.0 billion, of which $581.7 billion is managed by Principal Asset Management - Investment Management and $166.2 billion is managed by Principal Asset Management - International 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September 30, 2026, a combination of foreign currency translation, market performance, operations disposed, and other items not reported as part of the Company’s net cash flow, had an approximate 1.5% negative impact as a percentage of beginning period AUM. Operations disposed AUM in the current quarter was negative $2.2 billion primarily due to the sale of Chile annuity business in the Principal Asset Management – International 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times of market dislocations and a wider dispersion of returns, it is important to note our exposure to small, mid-cap, and international products in equity AUM, high yield and preferred securities exposure in fixed income AUM, and exchange rate movement in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545"/>
        <w:gridCol w:w="5765"/>
      </w:tblGrid>
      <w:tr>
        <w:trPr/>
        <w:tc>
          <w:tcPr>
            <w:tcW w:w="75" w:type="dxa"/>
            <w:tcBorders/>
            <w:vAlign w:val="center"/>
          </w:tcPr>
          <w:p>
            <w:pPr>
              <w:pStyle w:val="TableContents"/>
              <w:bidi w:val="0"/>
              <w:spacing w:before="0" w:after="283"/>
              <w:jc w:val="left"/>
              <w:rPr/>
            </w:pPr>
            <w:r>
              <w:rPr/>
              <w:t> </w:t>
            </w:r>
          </w:p>
        </w:tc>
        <w:tc>
          <w:tcPr>
            <w:tcW w:w="63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GROUP, INC.</w:t>
            </w:r>
          </w:p>
        </w:tc>
      </w:tr>
      <w:tr>
        <w:trPr/>
        <w:tc>
          <w:tcPr>
            <w:tcW w:w="75" w:type="dxa"/>
            <w:tcBorders/>
            <w:vAlign w:val="center"/>
          </w:tcPr>
          <w:p>
            <w:pPr>
              <w:pStyle w:val="TableContents"/>
              <w:bidi w:val="0"/>
              <w:spacing w:before="0" w:after="283"/>
              <w:jc w:val="left"/>
              <w:rPr/>
            </w:pPr>
            <w:r>
              <w:rPr/>
              <w:t> </w:t>
            </w:r>
          </w:p>
        </w:tc>
        <w:tc>
          <w:tcPr>
            <w:tcW w:w="63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Humphrey Lee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Humphrey Lee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 Investor Relations and Financial Planning &amp;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570</Words>
  <Characters>3179</Characters>
  <CharactersWithSpaces>3763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