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Calibri" w:cs="Calibri" w:eastAsia="Calibri" w:hAnsi="Calibri"/>
          <w:sz w:val="11"/>
          <w:szCs w:val="11"/>
          <w:color w:val="003366"/>
        </w:rPr>
        <w:t>TABLE OF CONTENTS</w:t>
      </w:r>
    </w:p>
    <w:p>
      <w:pPr>
        <w:spacing w:after="0" w:line="360" w:lineRule="exact"/>
        <w:rPr>
          <w:sz w:val="24"/>
          <w:szCs w:val="24"/>
          <w:color w:val="auto"/>
        </w:rPr>
      </w:pPr>
    </w:p>
    <w:p>
      <w:pPr>
        <w:ind w:left="6500"/>
        <w:spacing w:after="0"/>
        <w:rPr>
          <w:sz w:val="20"/>
          <w:szCs w:val="20"/>
          <w:color w:val="auto"/>
        </w:rPr>
      </w:pPr>
      <w:r>
        <w:rPr>
          <w:rFonts w:ascii="Times New Roman" w:cs="Times New Roman" w:eastAsia="Times New Roman" w:hAnsi="Times New Roman"/>
          <w:sz w:val="13"/>
          <w:szCs w:val="13"/>
          <w:b w:val="1"/>
          <w:bCs w:val="1"/>
          <w:color w:val="auto"/>
        </w:rPr>
        <w:t> Filed Pursuant to Rule 424(b)(5)​</w:t>
      </w:r>
    </w:p>
    <w:p>
      <w:pPr>
        <w:ind w:left="6100"/>
        <w:spacing w:after="0" w:line="216" w:lineRule="auto"/>
        <w:rPr>
          <w:sz w:val="20"/>
          <w:szCs w:val="20"/>
          <w:color w:val="auto"/>
        </w:rPr>
      </w:pPr>
      <w:r>
        <w:rPr>
          <w:rFonts w:ascii="Times New Roman" w:cs="Times New Roman" w:eastAsia="Times New Roman" w:hAnsi="Times New Roman"/>
          <w:sz w:val="13"/>
          <w:szCs w:val="13"/>
          <w:b w:val="1"/>
          <w:bCs w:val="1"/>
          <w:color w:val="auto"/>
        </w:rPr>
        <w:t> Registration Statement Nos. 333-293726​</w:t>
      </w:r>
    </w:p>
    <w:p>
      <w:pPr>
        <w:jc w:val="right"/>
        <w:ind w:right="739"/>
        <w:spacing w:after="0" w:line="199" w:lineRule="auto"/>
        <w:rPr>
          <w:sz w:val="20"/>
          <w:szCs w:val="20"/>
          <w:color w:val="auto"/>
        </w:rPr>
      </w:pPr>
      <w:r>
        <w:rPr>
          <w:rFonts w:ascii="Times New Roman" w:cs="Times New Roman" w:eastAsia="Times New Roman" w:hAnsi="Times New Roman"/>
          <w:sz w:val="13"/>
          <w:szCs w:val="13"/>
          <w:b w:val="1"/>
          <w:bCs w:val="1"/>
          <w:color w:val="auto"/>
        </w:rPr>
        <w:t> and 333-293726-01​</w:t>
      </w:r>
    </w:p>
    <w:p>
      <w:pPr>
        <w:ind w:left="760"/>
        <w:spacing w:after="0" w:line="233" w:lineRule="auto"/>
        <w:rPr>
          <w:sz w:val="20"/>
          <w:szCs w:val="20"/>
          <w:color w:val="auto"/>
        </w:rPr>
      </w:pPr>
      <w:r>
        <w:rPr>
          <w:rFonts w:ascii="Times New Roman" w:cs="Times New Roman" w:eastAsia="Times New Roman" w:hAnsi="Times New Roman"/>
          <w:sz w:val="13"/>
          <w:szCs w:val="13"/>
          <w:b w:val="1"/>
          <w:bCs w:val="1"/>
          <w:color w:val="auto"/>
        </w:rPr>
        <w:t>PROSPECTUS SUPPLEMENT</w:t>
      </w:r>
    </w:p>
    <w:p>
      <w:pPr>
        <w:ind w:left="760"/>
        <w:spacing w:after="0"/>
        <w:rPr>
          <w:sz w:val="20"/>
          <w:szCs w:val="20"/>
          <w:color w:val="auto"/>
        </w:rPr>
      </w:pPr>
      <w:r>
        <w:rPr>
          <w:rFonts w:ascii="Times New Roman" w:cs="Times New Roman" w:eastAsia="Times New Roman" w:hAnsi="Times New Roman"/>
          <w:sz w:val="13"/>
          <w:szCs w:val="13"/>
          <w:b w:val="1"/>
          <w:bCs w:val="1"/>
          <w:color w:val="auto"/>
        </w:rPr>
        <w:t>(To Prospectus Dated February 25,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$400,000,000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2189480</wp:posOffset>
            </wp:positionH>
            <wp:positionV relativeFrom="paragraph">
              <wp:posOffset>52705</wp:posOffset>
            </wp:positionV>
            <wp:extent cx="1347470" cy="381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7470" cy="381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PRINCIPAL FINANCIAL GROUP,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5.300% Senior Notes due 2037</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Fully and Unconditionally Guaranteed by</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PRINCIPAL FINANCIAL SERVICES,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We are offering $400,000,000 aggregate principal amount of our 5.300% Senior Notes due 2037 (the “Notes”). The Notes will</w:t>
      </w:r>
    </w:p>
    <w:p>
      <w:pPr>
        <w:spacing w:after="0" w:line="9" w:lineRule="exact"/>
        <w:rPr>
          <w:sz w:val="24"/>
          <w:szCs w:val="24"/>
          <w:color w:val="auto"/>
        </w:rPr>
      </w:pPr>
    </w:p>
    <w:p>
      <w:pPr>
        <w:ind w:left="760" w:right="799"/>
        <w:spacing w:after="0" w:line="233" w:lineRule="auto"/>
        <w:rPr>
          <w:sz w:val="20"/>
          <w:szCs w:val="20"/>
          <w:color w:val="auto"/>
        </w:rPr>
      </w:pPr>
      <w:r>
        <w:rPr>
          <w:rFonts w:ascii="Times New Roman" w:cs="Times New Roman" w:eastAsia="Times New Roman" w:hAnsi="Times New Roman"/>
          <w:sz w:val="13"/>
          <w:szCs w:val="13"/>
          <w:color w:val="auto"/>
        </w:rPr>
        <w:t>bear interest at a rate of 5.300% per year. Interest on the Notes is payable on January 15 and July 15 of each year, beginning on January 15, 2027. The Notes will mature on January 15, 2037.</w:t>
      </w:r>
    </w:p>
    <w:p>
      <w:pPr>
        <w:spacing w:after="0" w:line="27" w:lineRule="exact"/>
        <w:rPr>
          <w:sz w:val="24"/>
          <w:szCs w:val="24"/>
          <w:color w:val="auto"/>
        </w:rPr>
      </w:pPr>
    </w:p>
    <w:p>
      <w:pPr>
        <w:ind w:left="760" w:right="799" w:firstLine="276"/>
        <w:spacing w:after="0" w:line="250" w:lineRule="auto"/>
        <w:rPr>
          <w:sz w:val="20"/>
          <w:szCs w:val="20"/>
          <w:color w:val="auto"/>
        </w:rPr>
      </w:pPr>
      <w:r>
        <w:rPr>
          <w:rFonts w:ascii="Times New Roman" w:cs="Times New Roman" w:eastAsia="Times New Roman" w:hAnsi="Times New Roman"/>
          <w:sz w:val="13"/>
          <w:szCs w:val="13"/>
          <w:color w:val="auto"/>
        </w:rPr>
        <w:t>We may redeem the Notes, at our option, at any time and from time to time, in whole or in part, at the redemption prices described in the section entitled “Description of the Notes — Optional Redemption; No Sinking Fund” in this prospectus supplement.</w:t>
      </w:r>
    </w:p>
    <w:p>
      <w:pPr>
        <w:spacing w:after="0" w:line="20" w:lineRule="exact"/>
        <w:rPr>
          <w:sz w:val="24"/>
          <w:szCs w:val="24"/>
          <w:color w:val="auto"/>
        </w:rPr>
      </w:pPr>
    </w:p>
    <w:p>
      <w:pPr>
        <w:ind w:left="760" w:right="799" w:firstLine="276"/>
        <w:spacing w:after="0" w:line="235" w:lineRule="auto"/>
        <w:rPr>
          <w:sz w:val="20"/>
          <w:szCs w:val="20"/>
          <w:color w:val="auto"/>
        </w:rPr>
      </w:pPr>
      <w:r>
        <w:rPr>
          <w:rFonts w:ascii="Times New Roman" w:cs="Times New Roman" w:eastAsia="Times New Roman" w:hAnsi="Times New Roman"/>
          <w:sz w:val="13"/>
          <w:szCs w:val="13"/>
          <w:color w:val="auto"/>
        </w:rPr>
        <w:t>The Notes will be fully, unconditionally and irrevocably guaranteed on a senior unsecured basis (the “Subsidiary Guarantee”) by our subsidiary, Principal Financial Services, Inc. (the “Subsidiary Guarantor”), which is an intermediary holding company whose assets include all of the outstanding shares of our principal operating companies, including Principal Life Insurance Company.</w:t>
      </w:r>
    </w:p>
    <w:p>
      <w:pPr>
        <w:spacing w:after="0" w:line="27" w:lineRule="exact"/>
        <w:rPr>
          <w:sz w:val="24"/>
          <w:szCs w:val="24"/>
          <w:color w:val="auto"/>
        </w:rPr>
      </w:pPr>
    </w:p>
    <w:p>
      <w:pPr>
        <w:ind w:left="760" w:right="879" w:firstLine="276"/>
        <w:spacing w:after="0" w:line="235" w:lineRule="auto"/>
        <w:rPr>
          <w:sz w:val="20"/>
          <w:szCs w:val="20"/>
          <w:color w:val="auto"/>
        </w:rPr>
      </w:pPr>
      <w:r>
        <w:rPr>
          <w:rFonts w:ascii="Times New Roman" w:cs="Times New Roman" w:eastAsia="Times New Roman" w:hAnsi="Times New Roman"/>
          <w:sz w:val="13"/>
          <w:szCs w:val="13"/>
          <w:color w:val="auto"/>
        </w:rPr>
        <w:t>The Notes will be our senior unsecured and unsubordinated obligations and will rank equally in right of payment with all of our existing and future senior indebtedness and senior in right of payment to all of our existing and future subordinated indebtedness. The</w:t>
      </w:r>
    </w:p>
    <w:p>
      <w:pPr>
        <w:spacing w:after="0" w:line="1" w:lineRule="exact"/>
        <w:rPr>
          <w:sz w:val="24"/>
          <w:szCs w:val="24"/>
          <w:color w:val="auto"/>
        </w:rPr>
      </w:pPr>
    </w:p>
    <w:p>
      <w:pPr>
        <w:ind w:left="760" w:right="799"/>
        <w:spacing w:after="0" w:line="221" w:lineRule="auto"/>
        <w:rPr>
          <w:sz w:val="20"/>
          <w:szCs w:val="20"/>
          <w:color w:val="auto"/>
        </w:rPr>
      </w:pPr>
      <w:r>
        <w:rPr>
          <w:rFonts w:ascii="Times New Roman" w:cs="Times New Roman" w:eastAsia="Times New Roman" w:hAnsi="Times New Roman"/>
          <w:sz w:val="13"/>
          <w:szCs w:val="13"/>
          <w:color w:val="auto"/>
        </w:rPr>
        <w:t>Notes will be effectively subordinated to any of our secured indebtedness to the extent of the assets securing such indebtedness. The Notes will be structurally subordinated to all indebtedness and other liabilities (excluding the Subsidiary Guarantee) of our subsidiaries and the claims of any of their preferred stockholders, policyholders and other creditors. The Subsidiary Guarantee will be a senior</w:t>
      </w:r>
    </w:p>
    <w:p>
      <w:pPr>
        <w:spacing w:after="0" w:line="1" w:lineRule="exact"/>
        <w:rPr>
          <w:sz w:val="24"/>
          <w:szCs w:val="24"/>
          <w:color w:val="auto"/>
        </w:rPr>
      </w:pPr>
    </w:p>
    <w:p>
      <w:pPr>
        <w:jc w:val="both"/>
        <w:ind w:left="760" w:right="919"/>
        <w:spacing w:after="0" w:line="221" w:lineRule="auto"/>
        <w:rPr>
          <w:sz w:val="20"/>
          <w:szCs w:val="20"/>
          <w:color w:val="auto"/>
        </w:rPr>
      </w:pPr>
      <w:r>
        <w:rPr>
          <w:rFonts w:ascii="Times New Roman" w:cs="Times New Roman" w:eastAsia="Times New Roman" w:hAnsi="Times New Roman"/>
          <w:sz w:val="13"/>
          <w:szCs w:val="13"/>
          <w:color w:val="auto"/>
        </w:rPr>
        <w:t>unsecured and unsubordinated obligation of Principal Financial Services, Inc. and will rank equally in right of payment with all of its existing and future senior indebtedness and senior in right of payment to all of its existing and future subordinated indebtedness. The Subsidiary Guarantee will be effectively subordinated to any secured indebtedness of the Subsidiary Guarantor to the extent of the</w:t>
      </w:r>
    </w:p>
    <w:p>
      <w:pPr>
        <w:spacing w:after="0" w:line="1" w:lineRule="exact"/>
        <w:rPr>
          <w:sz w:val="24"/>
          <w:szCs w:val="24"/>
          <w:color w:val="auto"/>
        </w:rPr>
      </w:pPr>
    </w:p>
    <w:p>
      <w:pPr>
        <w:jc w:val="both"/>
        <w:ind w:left="760" w:right="919"/>
        <w:spacing w:after="0"/>
        <w:rPr>
          <w:sz w:val="20"/>
          <w:szCs w:val="20"/>
          <w:color w:val="auto"/>
        </w:rPr>
      </w:pPr>
      <w:r>
        <w:rPr>
          <w:rFonts w:ascii="Times New Roman" w:cs="Times New Roman" w:eastAsia="Times New Roman" w:hAnsi="Times New Roman"/>
          <w:sz w:val="13"/>
          <w:szCs w:val="13"/>
          <w:color w:val="auto"/>
        </w:rPr>
        <w:t>assets securing such indebtedness. The Subsidiary Guarantee will be structurally subordinated to all indebtedness and other liabilities of the subsidiaries of Principal Financial Services, Inc. and the claims of any of their preferred stockholders, policyholders and other creditors.</w:t>
      </w:r>
    </w:p>
    <w:p>
      <w:pPr>
        <w:spacing w:after="0" w:line="153" w:lineRule="exact"/>
        <w:rPr>
          <w:sz w:val="24"/>
          <w:szCs w:val="24"/>
          <w:color w:val="auto"/>
        </w:rPr>
      </w:pPr>
    </w:p>
    <w:p>
      <w:pPr>
        <w:ind w:left="760" w:right="799" w:firstLine="276"/>
        <w:spacing w:after="0" w:line="250" w:lineRule="auto"/>
        <w:rPr>
          <w:sz w:val="20"/>
          <w:szCs w:val="20"/>
          <w:color w:val="auto"/>
        </w:rPr>
      </w:pPr>
      <w:r>
        <w:rPr>
          <w:rFonts w:ascii="Times New Roman" w:cs="Times New Roman" w:eastAsia="Times New Roman" w:hAnsi="Times New Roman"/>
          <w:sz w:val="13"/>
          <w:szCs w:val="13"/>
          <w:color w:val="auto"/>
        </w:rPr>
        <w:t>The Notes are a new issue of securities with no established trading market. The Notes will not be listed on any securities exchange or included in any automated quotation system. Currently, there is no public market for the Notes.</w:t>
      </w:r>
    </w:p>
    <w:p>
      <w:pPr>
        <w:spacing w:after="0" w:line="20" w:lineRule="exact"/>
        <w:rPr>
          <w:sz w:val="24"/>
          <w:szCs w:val="24"/>
          <w:color w:val="auto"/>
        </w:rPr>
      </w:pPr>
    </w:p>
    <w:p>
      <w:pPr>
        <w:jc w:val="both"/>
        <w:ind w:left="760" w:right="839" w:firstLine="276"/>
        <w:spacing w:after="0" w:line="235" w:lineRule="auto"/>
        <w:rPr>
          <w:sz w:val="20"/>
          <w:szCs w:val="20"/>
          <w:color w:val="auto"/>
        </w:rPr>
      </w:pPr>
      <w:r>
        <w:rPr>
          <w:rFonts w:ascii="Times New Roman" w:cs="Times New Roman" w:eastAsia="Times New Roman" w:hAnsi="Times New Roman"/>
          <w:sz w:val="13"/>
          <w:szCs w:val="13"/>
          <w:color w:val="auto"/>
        </w:rPr>
        <w:t xml:space="preserve">Investing in the Notes involves risks. See the section entitled “Risk Factors” beginning on page </w:t>
      </w:r>
      <w:r>
        <w:rPr>
          <w:rFonts w:ascii="Times New Roman" w:cs="Times New Roman" w:eastAsia="Times New Roman" w:hAnsi="Times New Roman"/>
          <w:sz w:val="13"/>
          <w:szCs w:val="13"/>
          <w:u w:val="single" w:color="auto"/>
          <w:color w:val="0000EE"/>
        </w:rPr>
        <w:t>S-4</w:t>
      </w:r>
      <w:r>
        <w:rPr>
          <w:rFonts w:ascii="Times New Roman" w:cs="Times New Roman" w:eastAsia="Times New Roman" w:hAnsi="Times New Roman"/>
          <w:sz w:val="13"/>
          <w:szCs w:val="13"/>
          <w:color w:val="auto"/>
        </w:rPr>
        <w:t xml:space="preserve"> of this prospectus supplement and the other information included in or incorporated by reference in this prospectus supplement and the accompanying prospectus for a discussion of factors you should carefully consider before deciding to invest in the Notes.</w:t>
      </w:r>
    </w:p>
    <w:p>
      <w:pPr>
        <w:spacing w:after="0" w:line="25" w:lineRule="exact"/>
        <w:rPr>
          <w:sz w:val="24"/>
          <w:szCs w:val="24"/>
          <w:color w:val="auto"/>
        </w:rPr>
      </w:pPr>
    </w:p>
    <w:p>
      <w:pPr>
        <w:ind w:left="760" w:right="799" w:firstLine="276"/>
        <w:spacing w:after="0" w:line="256"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w:t>
      </w:r>
    </w:p>
    <w:p>
      <w:pPr>
        <w:spacing w:after="0" w:line="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criminal offense.</w:t>
      </w:r>
    </w:p>
    <w:tbl>
      <w:tblPr>
        <w:tblLayout w:type="fixed"/>
        <w:tblInd w:w="760" w:type="dxa"/>
        <w:tblCellMar>
          <w:top w:w="0" w:type="dxa"/>
          <w:left w:w="0" w:type="dxa"/>
          <w:bottom w:w="0" w:type="dxa"/>
          <w:right w:w="0" w:type="dxa"/>
        </w:tblCellMar>
      </w:tblPr>
      <w:tr>
        <w:trPr>
          <w:trHeight w:val="205"/>
        </w:trPr>
        <w:tc>
          <w:tcPr>
            <w:tcW w:w="4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60" w:type="dxa"/>
            <w:vAlign w:val="bottom"/>
            <w:gridSpan w:val="3"/>
          </w:tcPr>
          <w:p>
            <w:pPr>
              <w:ind w:left="1320"/>
              <w:spacing w:after="0" w:line="205"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Per Note </w:t>
            </w:r>
            <w:r>
              <w:rPr>
                <w:rFonts w:ascii="Times New Roman" w:cs="Times New Roman" w:eastAsia="Times New Roman" w:hAnsi="Times New Roman"/>
                <w:sz w:val="22"/>
                <w:szCs w:val="22"/>
                <w:b w:val="1"/>
                <w:bCs w:val="1"/>
                <w:color w:val="auto"/>
                <w:vertAlign w:val="subscript"/>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Public Offering Price</w:t>
            </w:r>
            <w:r>
              <w:rPr>
                <w:rFonts w:ascii="Times New Roman" w:cs="Times New Roman" w:eastAsia="Times New Roman" w:hAnsi="Times New Roman"/>
                <w:sz w:val="16"/>
                <w:szCs w:val="16"/>
                <w:color w:val="auto"/>
                <w:vertAlign w:val="superscript"/>
              </w:rPr>
              <w:t>(1)</w:t>
            </w:r>
          </w:p>
        </w:tc>
        <w:tc>
          <w:tcPr>
            <w:tcW w:w="1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left w:val="single" w:sz="8" w:color="CCEEFF"/>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shd w:val="clear" w:color="auto" w:fill="CCEEFF"/>
          </w:tcPr>
          <w:p>
            <w:pPr>
              <w:spacing w:after="0"/>
              <w:rPr>
                <w:sz w:val="15"/>
                <w:szCs w:val="15"/>
                <w:color w:val="auto"/>
              </w:rPr>
            </w:pPr>
          </w:p>
        </w:tc>
        <w:tc>
          <w:tcPr>
            <w:tcW w:w="196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99.709%​​</w:t>
            </w:r>
          </w:p>
        </w:tc>
        <w:tc>
          <w:tcPr>
            <w:tcW w:w="8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​​$398,836,000​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Underwriting Discount</w:t>
            </w:r>
          </w:p>
        </w:tc>
        <w:tc>
          <w:tcPr>
            <w:tcW w:w="1960" w:type="dxa"/>
            <w:vAlign w:val="bottom"/>
            <w:gridSpan w:val="3"/>
          </w:tcPr>
          <w:p>
            <w:pPr>
              <w:ind w:left="1320"/>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0.650%​​</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2,600,000​</w:t>
            </w: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to Principal Financial Group, Inc. (before expenses)</w:t>
            </w:r>
          </w:p>
        </w:tc>
        <w:tc>
          <w:tcPr>
            <w:tcW w:w="196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99.059%​​</w:t>
            </w:r>
          </w:p>
        </w:tc>
        <w:tc>
          <w:tcPr>
            <w:tcW w:w="8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​​$396,236,000​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487045</wp:posOffset>
            </wp:positionH>
            <wp:positionV relativeFrom="paragraph">
              <wp:posOffset>-334645</wp:posOffset>
            </wp:positionV>
            <wp:extent cx="42659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65930" cy="6350"/>
                    </a:xfrm>
                    <a:prstGeom prst="rect">
                      <a:avLst/>
                    </a:prstGeom>
                    <a:noFill/>
                  </pic:spPr>
                </pic:pic>
              </a:graphicData>
            </a:graphic>
          </wp:anchor>
        </w:drawing>
        <w:drawing>
          <wp:anchor simplePos="0" relativeHeight="251657728" behindDoc="1" locked="0" layoutInCell="0" allowOverlap="1">
            <wp:simplePos x="0" y="0"/>
            <wp:positionH relativeFrom="column">
              <wp:posOffset>487045</wp:posOffset>
            </wp:positionH>
            <wp:positionV relativeFrom="paragraph">
              <wp:posOffset>105410</wp:posOffset>
            </wp:positionV>
            <wp:extent cx="9467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6785" cy="6350"/>
                    </a:xfrm>
                    <a:prstGeom prst="rect">
                      <a:avLst/>
                    </a:prstGeom>
                    <a:noFill/>
                  </pic:spPr>
                </pic:pic>
              </a:graphicData>
            </a:graphic>
          </wp:anchor>
        </w:drawing>
      </w:r>
    </w:p>
    <w:p>
      <w:pPr>
        <w:spacing w:after="0" w:line="253" w:lineRule="exact"/>
        <w:rPr>
          <w:sz w:val="24"/>
          <w:szCs w:val="24"/>
          <w:color w:val="auto"/>
        </w:rPr>
      </w:pPr>
    </w:p>
    <w:p>
      <w:pPr>
        <w:ind w:left="760"/>
        <w:spacing w:after="0"/>
        <w:tabs>
          <w:tab w:leader="none" w:pos="1020" w:val="left"/>
        </w:tabs>
        <w:rPr>
          <w:sz w:val="20"/>
          <w:szCs w:val="20"/>
          <w:color w:val="auto"/>
        </w:rPr>
      </w:pPr>
      <w:r>
        <w:rPr>
          <w:rFonts w:ascii="Times New Roman" w:cs="Times New Roman" w:eastAsia="Times New Roman" w:hAnsi="Times New Roman"/>
          <w:sz w:val="13"/>
          <w:szCs w:val="13"/>
          <w:color w:val="auto"/>
        </w:rPr>
        <w:t>(1)</w:t>
        <w:tab/>
        <w:t>Plus accrued interest, if any, from June 1, 2026, if settlement occurs after that date.</w:t>
      </w:r>
    </w:p>
    <w:p>
      <w:pPr>
        <w:spacing w:after="0" w:line="4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3"/>
          <w:szCs w:val="13"/>
          <w:color w:val="auto"/>
        </w:rPr>
        <w:t>The underwriters expect to deliver the Notes only in book-entry form through the facilities of The Depository Trust Company</w:t>
      </w:r>
    </w:p>
    <w:p>
      <w:pPr>
        <w:spacing w:after="0" w:line="9" w:lineRule="exact"/>
        <w:rPr>
          <w:sz w:val="24"/>
          <w:szCs w:val="24"/>
          <w:color w:val="auto"/>
        </w:rPr>
      </w:pPr>
    </w:p>
    <w:p>
      <w:pPr>
        <w:ind w:left="760" w:right="1259"/>
        <w:spacing w:after="0" w:line="233" w:lineRule="auto"/>
        <w:rPr>
          <w:sz w:val="20"/>
          <w:szCs w:val="20"/>
          <w:color w:val="auto"/>
        </w:rPr>
      </w:pPr>
      <w:r>
        <w:rPr>
          <w:rFonts w:ascii="Times New Roman" w:cs="Times New Roman" w:eastAsia="Times New Roman" w:hAnsi="Times New Roman"/>
          <w:sz w:val="13"/>
          <w:szCs w:val="13"/>
          <w:color w:val="auto"/>
        </w:rPr>
        <w:t>(“DTC”) for the accounts of its participants, including Euroclear Bank SA/NV and Clearstream Banking S.A., against payment therefor, in New York, New York on or about June 1, 2026.</w:t>
      </w:r>
    </w:p>
    <w:p>
      <w:pPr>
        <w:spacing w:after="0" w:line="25" w:lineRule="exact"/>
        <w:rPr>
          <w:sz w:val="24"/>
          <w:szCs w:val="24"/>
          <w:color w:val="auto"/>
        </w:rPr>
      </w:pPr>
    </w:p>
    <w:tbl>
      <w:tblPr>
        <w:tblLayout w:type="fixed"/>
        <w:tblInd w:w="40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Joint Book-Running Managers</w:t>
            </w:r>
          </w:p>
        </w:tc>
        <w:tc>
          <w:tcPr>
            <w:tcW w:w="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39"/>
        </w:trPr>
        <w:tc>
          <w:tcPr>
            <w:tcW w:w="480" w:type="dxa"/>
            <w:vAlign w:val="bottom"/>
          </w:tcPr>
          <w:p>
            <w:pPr>
              <w:ind w:left="360"/>
              <w:spacing w:after="0" w:line="240" w:lineRule="exact"/>
              <w:rPr>
                <w:sz w:val="20"/>
                <w:szCs w:val="20"/>
                <w:color w:val="auto"/>
              </w:rPr>
            </w:pPr>
            <w:r>
              <w:rPr>
                <w:rFonts w:ascii="Times New Roman" w:cs="Times New Roman" w:eastAsia="Times New Roman" w:hAnsi="Times New Roman"/>
                <w:sz w:val="22"/>
                <w:szCs w:val="22"/>
                <w:b w:val="1"/>
                <w:bCs w:val="1"/>
                <w:color w:val="auto"/>
              </w:rPr>
              <w:t>​</w:t>
            </w:r>
          </w:p>
        </w:tc>
        <w:tc>
          <w:tcPr>
            <w:tcW w:w="2200" w:type="dxa"/>
            <w:vAlign w:val="bottom"/>
          </w:tcPr>
          <w:p>
            <w:pPr>
              <w:jc w:val="center"/>
              <w:ind w:right="14"/>
              <w:spacing w:after="0" w:line="240" w:lineRule="exact"/>
              <w:rPr>
                <w:sz w:val="20"/>
                <w:szCs w:val="20"/>
                <w:color w:val="auto"/>
              </w:rPr>
            </w:pPr>
            <w:r>
              <w:rPr>
                <w:rFonts w:ascii="Times New Roman" w:cs="Times New Roman" w:eastAsia="Times New Roman" w:hAnsi="Times New Roman"/>
                <w:sz w:val="22"/>
                <w:szCs w:val="22"/>
                <w:b w:val="1"/>
                <w:bCs w:val="1"/>
                <w:color w:val="auto"/>
                <w:w w:val="95"/>
              </w:rPr>
              <w:t>BofA Securities</w:t>
            </w:r>
          </w:p>
        </w:tc>
        <w:tc>
          <w:tcPr>
            <w:tcW w:w="2940" w:type="dxa"/>
            <w:vAlign w:val="bottom"/>
            <w:gridSpan w:val="3"/>
          </w:tcPr>
          <w:p>
            <w:pPr>
              <w:ind w:left="20"/>
              <w:spacing w:after="0" w:line="240" w:lineRule="exact"/>
              <w:rPr>
                <w:sz w:val="20"/>
                <w:szCs w:val="20"/>
                <w:color w:val="auto"/>
              </w:rPr>
            </w:pPr>
            <w:r>
              <w:rPr>
                <w:rFonts w:ascii="Times New Roman" w:cs="Times New Roman" w:eastAsia="Times New Roman" w:hAnsi="Times New Roman"/>
                <w:sz w:val="22"/>
                <w:szCs w:val="22"/>
                <w:b w:val="1"/>
                <w:bCs w:val="1"/>
                <w:color w:val="auto"/>
              </w:rPr>
              <w:t>​​Goldman Sachs &amp; Co. LLC ​​</w:t>
            </w:r>
          </w:p>
        </w:tc>
        <w:tc>
          <w:tcPr>
            <w:tcW w:w="2140" w:type="dxa"/>
            <w:vAlign w:val="bottom"/>
          </w:tcPr>
          <w:p>
            <w:pPr>
              <w:ind w:left="520"/>
              <w:spacing w:after="0" w:line="240" w:lineRule="exact"/>
              <w:rPr>
                <w:sz w:val="20"/>
                <w:szCs w:val="20"/>
                <w:color w:val="auto"/>
              </w:rPr>
            </w:pPr>
            <w:r>
              <w:rPr>
                <w:rFonts w:ascii="Times New Roman" w:cs="Times New Roman" w:eastAsia="Times New Roman" w:hAnsi="Times New Roman"/>
                <w:sz w:val="22"/>
                <w:szCs w:val="22"/>
                <w:b w:val="1"/>
                <w:bCs w:val="1"/>
                <w:color w:val="auto"/>
              </w:rPr>
              <w:t>J.P. Morgan</w:t>
            </w:r>
          </w:p>
        </w:tc>
        <w:tc>
          <w:tcPr>
            <w:tcW w:w="460" w:type="dxa"/>
            <w:vAlign w:val="bottom"/>
          </w:tcPr>
          <w:p>
            <w:pPr>
              <w:ind w:left="80"/>
              <w:spacing w:after="0" w:line="240" w:lineRule="exact"/>
              <w:rPr>
                <w:sz w:val="20"/>
                <w:szCs w:val="20"/>
                <w:color w:val="auto"/>
              </w:rPr>
            </w:pPr>
            <w:r>
              <w:rPr>
                <w:rFonts w:ascii="Times New Roman" w:cs="Times New Roman" w:eastAsia="Times New Roman" w:hAnsi="Times New Roman"/>
                <w:sz w:val="22"/>
                <w:szCs w:val="22"/>
                <w:b w:val="1"/>
                <w:bCs w:val="1"/>
                <w:color w:val="auto"/>
              </w:rPr>
              <w:t>​</w:t>
            </w:r>
          </w:p>
        </w:tc>
      </w:tr>
      <w:tr>
        <w:trPr>
          <w:trHeight w:val="325"/>
        </w:trPr>
        <w:tc>
          <w:tcPr>
            <w:tcW w:w="4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w:t>
            </w:r>
          </w:p>
        </w:tc>
        <w:tc>
          <w:tcPr>
            <w:tcW w:w="2200" w:type="dxa"/>
            <w:vAlign w:val="bottom"/>
          </w:tcPr>
          <w:p>
            <w:pPr>
              <w:jc w:val="center"/>
              <w:ind w:right="14"/>
              <w:spacing w:after="0"/>
              <w:rPr>
                <w:sz w:val="20"/>
                <w:szCs w:val="20"/>
                <w:color w:val="auto"/>
              </w:rPr>
            </w:pPr>
            <w:r>
              <w:rPr>
                <w:rFonts w:ascii="Times New Roman" w:cs="Times New Roman" w:eastAsia="Times New Roman" w:hAnsi="Times New Roman"/>
                <w:sz w:val="22"/>
                <w:szCs w:val="22"/>
                <w:b w:val="1"/>
                <w:bCs w:val="1"/>
                <w:color w:val="auto"/>
                <w:w w:val="97"/>
              </w:rPr>
              <w:t>Barclays</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BNP PARIBAS</w:t>
            </w:r>
          </w:p>
        </w:tc>
        <w:tc>
          <w:tcPr>
            <w:tcW w:w="48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w:t>
            </w:r>
          </w:p>
        </w:tc>
        <w:tc>
          <w:tcPr>
            <w:tcW w:w="214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RBC Capital Markets</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4"/>
        </w:trPr>
        <w:tc>
          <w:tcPr>
            <w:tcW w:w="4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Co-Managers</w:t>
            </w:r>
          </w:p>
        </w:tc>
        <w:tc>
          <w:tcPr>
            <w:tcW w:w="4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19"/>
        </w:trPr>
        <w:tc>
          <w:tcPr>
            <w:tcW w:w="2680" w:type="dxa"/>
            <w:vAlign w:val="bottom"/>
            <w:gridSpan w:val="2"/>
          </w:tcPr>
          <w:p>
            <w:pPr>
              <w:ind w:left="360"/>
              <w:spacing w:after="0"/>
              <w:rPr>
                <w:sz w:val="20"/>
                <w:szCs w:val="20"/>
                <w:color w:val="auto"/>
              </w:rPr>
            </w:pPr>
            <w:r>
              <w:rPr>
                <w:rFonts w:ascii="Times New Roman" w:cs="Times New Roman" w:eastAsia="Times New Roman" w:hAnsi="Times New Roman"/>
                <w:sz w:val="19"/>
                <w:szCs w:val="19"/>
                <w:b w:val="1"/>
                <w:bCs w:val="1"/>
                <w:color w:val="auto"/>
              </w:rPr>
              <w:t>​ PNC Capital Markets LLC</w:t>
            </w:r>
          </w:p>
        </w:tc>
        <w:tc>
          <w:tcPr>
            <w:tcW w:w="40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 ​</w:t>
            </w:r>
          </w:p>
        </w:tc>
        <w:tc>
          <w:tcPr>
            <w:tcW w:w="2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SMBC Nikko</w:t>
            </w:r>
          </w:p>
        </w:tc>
        <w:tc>
          <w:tcPr>
            <w:tcW w:w="48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 ​</w:t>
            </w:r>
          </w:p>
        </w:tc>
        <w:tc>
          <w:tcPr>
            <w:tcW w:w="2140" w:type="dxa"/>
            <w:vAlign w:val="bottom"/>
          </w:tcPr>
          <w:p>
            <w:pPr>
              <w:ind w:left="520"/>
              <w:spacing w:after="0"/>
              <w:rPr>
                <w:sz w:val="20"/>
                <w:szCs w:val="20"/>
                <w:color w:val="auto"/>
              </w:rPr>
            </w:pPr>
            <w:r>
              <w:rPr>
                <w:rFonts w:ascii="Times New Roman" w:cs="Times New Roman" w:eastAsia="Times New Roman" w:hAnsi="Times New Roman"/>
                <w:sz w:val="19"/>
                <w:szCs w:val="19"/>
                <w:b w:val="1"/>
                <w:bCs w:val="1"/>
                <w:color w:val="auto"/>
              </w:rPr>
              <w:t>US Bancorp</w:t>
            </w:r>
          </w:p>
        </w:tc>
        <w:tc>
          <w:tcPr>
            <w:tcW w:w="4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296"/>
        </w:trPr>
        <w:tc>
          <w:tcPr>
            <w:tcW w:w="480" w:type="dxa"/>
            <w:vAlign w:val="bottom"/>
          </w:tcPr>
          <w:p>
            <w:pPr>
              <w:ind w:left="360"/>
              <w:spacing w:after="0"/>
              <w:rPr>
                <w:sz w:val="20"/>
                <w:szCs w:val="20"/>
                <w:color w:val="auto"/>
              </w:rPr>
            </w:pPr>
            <w:r>
              <w:rPr>
                <w:rFonts w:ascii="Times New Roman" w:cs="Times New Roman" w:eastAsia="Times New Roman" w:hAnsi="Times New Roman"/>
                <w:sz w:val="19"/>
                <w:szCs w:val="19"/>
                <w:b w:val="1"/>
                <w:bCs w:val="1"/>
                <w:color w:val="auto"/>
              </w:rPr>
              <w:t>​</w:t>
            </w:r>
          </w:p>
        </w:tc>
        <w:tc>
          <w:tcPr>
            <w:tcW w:w="22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w w:val="99"/>
              </w:rPr>
              <w:t>CastleOak Securities, L.P.</w:t>
            </w:r>
          </w:p>
        </w:tc>
        <w:tc>
          <w:tcPr>
            <w:tcW w:w="40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 ​</w:t>
            </w:r>
          </w:p>
        </w:tc>
        <w:tc>
          <w:tcPr>
            <w:tcW w:w="2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Drexel Hamilton</w:t>
            </w:r>
          </w:p>
        </w:tc>
        <w:tc>
          <w:tcPr>
            <w:tcW w:w="48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 ​</w:t>
            </w:r>
          </w:p>
        </w:tc>
        <w:tc>
          <w:tcPr>
            <w:tcW w:w="214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Ramirez &amp; Co., Inc.</w:t>
            </w:r>
          </w:p>
        </w:tc>
        <w:tc>
          <w:tcPr>
            <w:tcW w:w="4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293"/>
        </w:trPr>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27, 2026</w:t>
            </w:r>
          </w:p>
        </w:tc>
        <w:tc>
          <w:tcPr>
            <w:tcW w:w="4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92"/>
        </w:trPr>
        <w:tc>
          <w:tcPr>
            <w:tcW w:w="4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5450205</wp:posOffset>
            </wp:positionH>
            <wp:positionV relativeFrom="paragraph">
              <wp:posOffset>-25400</wp:posOffset>
            </wp:positionV>
            <wp:extent cx="3175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-25400</wp:posOffset>
            </wp:positionV>
            <wp:extent cx="3175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86" w:right="1440" w:bottom="1440" w:gutter="0" w:footer="0" w:header="0"/>
        </w:sectPr>
      </w:pPr>
    </w:p>
    <w:bookmarkStart w:id="1" w:name="page2"/>
    <w:bookmarkEnd w:id="1"/>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399" w:firstLine="276"/>
        <w:spacing w:after="0" w:line="248" w:lineRule="auto"/>
        <w:rPr>
          <w:sz w:val="20"/>
          <w:szCs w:val="20"/>
          <w:color w:val="auto"/>
        </w:rPr>
      </w:pPr>
      <w:r>
        <w:rPr>
          <w:rFonts w:ascii="Times New Roman" w:cs="Times New Roman" w:eastAsia="Times New Roman" w:hAnsi="Times New Roman"/>
          <w:sz w:val="14"/>
          <w:szCs w:val="14"/>
          <w:color w:val="auto"/>
        </w:rPr>
        <w:t>This prospectus supplement, any related free writing prospectus issued by us (which we refer to as a “company free writing prospectus”), the accompanying prospectus and the documents incorporated by reference in this prospectus supplement and the accompanying prospectus, or to which we have referred you,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This prospectus supplement, any related company free writing prospectus and the accompanying prospectus do not constitute an offer to sell, or a solicitation of an offer to purchase, the securities offered by this prospectus supplement, any related company free writing prospectus and the accompanying prospectus in any jurisdiction to or from any person to whom or from whom it is unlawful to make such offer or solicitation of an offer in such jurisdiction. You should not assume that the information contained in this prospectus supplement, any related company free writing prospectus and the accompanying prospectus or any document incorporated by reference is accurate as of any date other than the date of the applicable document. Neither the delivery of this prospectus supplement, any related company free writing prospectus and the accompanying prospectus nor any distribution of securities pursuant to this prospectus supplement and the accompanying prospectus shall, under any circumstances, create any implication that there has been no change in the information set forth or incorporated by reference into this prospectus supplement, any related company free writing prospectus and the accompanying prospectus or in our affairs since the date of this prospectus supplement.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269875</wp:posOffset>
            </wp:positionV>
            <wp:extent cx="94678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67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ectPr>
          <w:pgSz w:w="11900" w:h="16838" w:orient="portrait"/>
          <w:cols w:equalWidth="0" w:num="1">
            <w:col w:w="9019"/>
          </w:cols>
          <w:pgMar w:left="1440" w:top="104" w:right="1440" w:bottom="1440" w:gutter="0" w:footer="0" w:header="0"/>
        </w:sectPr>
      </w:pPr>
    </w:p>
    <w:p>
      <w:pPr>
        <w:spacing w:after="0" w:line="1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10795</wp:posOffset>
            </wp:positionV>
            <wp:extent cx="3996055" cy="131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96055" cy="131445"/>
                    </a:xfrm>
                    <a:prstGeom prst="rect">
                      <a:avLst/>
                    </a:prstGeom>
                    <a:noFill/>
                  </pic:spPr>
                </pic:pic>
              </a:graphicData>
            </a:graphic>
          </wp:anchor>
        </w:drawing>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FORWARD-LOOKING STATEMENTS</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12065</wp:posOffset>
            </wp:positionV>
            <wp:extent cx="3996055" cy="125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96055" cy="125095"/>
                    </a:xfrm>
                    <a:prstGeom prst="rect">
                      <a:avLst/>
                    </a:prstGeom>
                    <a:noFill/>
                  </pic:spPr>
                </pic:pic>
              </a:graphicData>
            </a:graphic>
          </wp:anchor>
        </w:drawing>
      </w:r>
    </w:p>
    <w:p>
      <w:pPr>
        <w:spacing w:after="0" w:line="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12065</wp:posOffset>
            </wp:positionV>
            <wp:extent cx="3996055" cy="131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96055" cy="131445"/>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CAPITALIZATION</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12065</wp:posOffset>
            </wp:positionV>
            <wp:extent cx="3996055" cy="131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96055" cy="131445"/>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U.S. FEDERAL INCOME TAX CONSIDERATIONS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12065</wp:posOffset>
            </wp:positionV>
            <wp:extent cx="3996055" cy="131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96055" cy="131445"/>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VALIDITY OF THE NOTES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12065</wp:posOffset>
            </wp:positionV>
            <wp:extent cx="3996055" cy="131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96055" cy="131445"/>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16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10795</wp:posOffset>
            </wp:positionV>
            <wp:extent cx="3996055" cy="131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96055" cy="131445"/>
                    </a:xfrm>
                    <a:prstGeom prst="rect">
                      <a:avLst/>
                    </a:prstGeom>
                    <a:noFill/>
                  </pic:spPr>
                </pic:pic>
              </a:graphicData>
            </a:graphic>
          </wp:anchor>
        </w:drawing>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0</wp:posOffset>
            </wp:positionV>
            <wp:extent cx="3996055" cy="125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96055" cy="125095"/>
                    </a:xfrm>
                    <a:prstGeom prst="rect">
                      <a:avLst/>
                    </a:prstGeom>
                    <a:noFill/>
                  </pic:spPr>
                </pic:pic>
              </a:graphicData>
            </a:graphic>
          </wp:anchor>
        </w:drawing>
      </w:r>
    </w:p>
    <w:p>
      <w:pPr>
        <w:spacing w:after="0" w:line="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NOTE REGARDING RELIANCE ON STATEMENTS IN OUR CONTRACTS</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PRINCIPAL FINANCIAL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0</wp:posOffset>
            </wp:positionV>
            <wp:extent cx="3996055" cy="125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96055" cy="125095"/>
                    </a:xfrm>
                    <a:prstGeom prst="rect">
                      <a:avLst/>
                    </a:prstGeom>
                    <a:noFill/>
                  </pic:spPr>
                </pic:pic>
              </a:graphicData>
            </a:graphic>
          </wp:anchor>
        </w:drawing>
      </w:r>
    </w:p>
    <w:p>
      <w:pPr>
        <w:spacing w:after="0" w:line="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0</wp:posOffset>
            </wp:positionV>
            <wp:extent cx="3996055" cy="131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96055" cy="131445"/>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GUARANTEE OF PRINCIPAL FINANCIAL SERVICES, INC</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9"/>
        </w:trPr>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8"/>
              </w:rPr>
              <w:t xml:space="preserve">Page </w:t>
            </w:r>
            <w:r>
              <w:rPr>
                <w:rFonts w:ascii="Times New Roman" w:cs="Times New Roman" w:eastAsia="Times New Roman" w:hAnsi="Times New Roman"/>
                <w:sz w:val="22"/>
                <w:szCs w:val="22"/>
                <w:b w:val="1"/>
                <w:bCs w:val="1"/>
                <w:color w:val="auto"/>
                <w:w w:val="78"/>
                <w:vertAlign w:val="subscript"/>
              </w:rPr>
              <w:t>​</w:t>
            </w:r>
          </w:p>
        </w:tc>
      </w:tr>
      <w:tr>
        <w:trPr>
          <w:trHeight w:val="20"/>
        </w:trPr>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tcPr>
          <w:p>
            <w:pPr>
              <w:jc w:val="right"/>
              <w:spacing w:after="0" w:line="146" w:lineRule="exact"/>
              <w:rPr>
                <w:sz w:val="20"/>
                <w:szCs w:val="20"/>
                <w:color w:val="auto"/>
              </w:rPr>
            </w:pPr>
            <w:r>
              <w:rPr>
                <w:rFonts w:ascii="Times New Roman" w:cs="Times New Roman" w:eastAsia="Times New Roman" w:hAnsi="Times New Roman"/>
                <w:sz w:val="13"/>
                <w:szCs w:val="13"/>
                <w:color w:val="0000EE"/>
                <w:w w:val="71"/>
              </w:rPr>
              <w:t>S-iii</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2"/>
              </w:rPr>
              <w:t>S-1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2"/>
              </w:rPr>
              <w:t>S-4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7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2"/>
              </w:rPr>
              <w:t>S-7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2"/>
              </w:rPr>
              <w:t>S-8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8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color w:val="0000EE"/>
                <w:w w:val="82"/>
              </w:rPr>
              <w:t>S-9</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bl>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S-18</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S-22</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S-28</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S-28</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S-29</w:t>
      </w:r>
      <w:r>
        <w:rPr>
          <w:rFonts w:ascii="Times New Roman" w:cs="Times New Roman" w:eastAsia="Times New Roman" w:hAnsi="Times New Roman"/>
          <w:sz w:val="14"/>
          <w:szCs w:val="14"/>
          <w:color w:val="auto"/>
        </w:rPr>
        <w:t>​</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91"/>
        </w:trPr>
        <w:tc>
          <w:tcPr>
            <w:tcW w:w="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w:t>
            </w:r>
          </w:p>
        </w:tc>
        <w:tc>
          <w:tcPr>
            <w:tcW w:w="160" w:type="dxa"/>
            <w:vAlign w:val="bottom"/>
          </w:tcPr>
          <w:p>
            <w:pPr>
              <w:spacing w:after="0"/>
              <w:rPr>
                <w:sz w:val="24"/>
                <w:szCs w:val="24"/>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w w:val="75"/>
              </w:rPr>
              <w:t>Page</w:t>
            </w:r>
            <w:r>
              <w:rPr>
                <w:rFonts w:ascii="Times New Roman" w:cs="Times New Roman" w:eastAsia="Times New Roman" w:hAnsi="Times New Roman"/>
                <w:sz w:val="17"/>
                <w:szCs w:val="17"/>
                <w:b w:val="1"/>
                <w:bCs w:val="1"/>
                <w:color w:val="auto"/>
                <w:w w:val="75"/>
                <w:vertAlign w:val="subscript"/>
              </w:rPr>
              <w:t>​</w:t>
            </w: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1"/>
              </w:rPr>
              <w:t>​</w:t>
            </w:r>
            <w:r>
              <w:rPr>
                <w:rFonts w:ascii="Times New Roman" w:cs="Times New Roman" w:eastAsia="Times New Roman" w:hAnsi="Times New Roman"/>
                <w:sz w:val="10"/>
                <w:szCs w:val="10"/>
                <w:color w:val="0000EE"/>
                <w:w w:val="71"/>
              </w:rPr>
              <w:t>ii</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7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6"/>
                <w:szCs w:val="6"/>
                <w:b w:val="1"/>
                <w:bCs w:val="1"/>
                <w:color w:val="auto"/>
                <w:w w:val="78"/>
              </w:rPr>
              <w:t>​</w:t>
            </w:r>
            <w:r>
              <w:rPr>
                <w:rFonts w:ascii="Times New Roman" w:cs="Times New Roman" w:eastAsia="Times New Roman" w:hAnsi="Times New Roman"/>
                <w:sz w:val="6"/>
                <w:szCs w:val="6"/>
                <w:color w:val="0000EE"/>
                <w:w w:val="78"/>
              </w:rPr>
              <w:t>iii</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0000EE"/>
                <w:w w:val="99"/>
              </w:rPr>
              <w:t>v</w:t>
            </w:r>
            <w:r>
              <w:rPr>
                <w:rFonts w:ascii="Times New Roman" w:cs="Times New Roman" w:eastAsia="Times New Roman" w:hAnsi="Times New Roman"/>
                <w:sz w:val="14"/>
                <w:szCs w:val="14"/>
                <w:b w:val="1"/>
                <w:bCs w:val="1"/>
                <w:color w:val="auto"/>
                <w:w w:val="99"/>
              </w:rPr>
              <w:t xml:space="preserve"> ​</w:t>
            </w:r>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7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0000EE"/>
                <w:w w:val="99"/>
              </w:rPr>
              <w:t>1</w:t>
            </w:r>
            <w:r>
              <w:rPr>
                <w:rFonts w:ascii="Times New Roman" w:cs="Times New Roman" w:eastAsia="Times New Roman" w:hAnsi="Times New Roman"/>
                <w:sz w:val="14"/>
                <w:szCs w:val="14"/>
                <w:b w:val="1"/>
                <w:bCs w:val="1"/>
                <w:color w:val="auto"/>
                <w:w w:val="99"/>
              </w:rPr>
              <w:t xml:space="preserve"> ​</w:t>
            </w:r>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7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0000EE"/>
                <w:w w:val="99"/>
              </w:rPr>
              <w:t>2</w:t>
            </w:r>
            <w:r>
              <w:rPr>
                <w:rFonts w:ascii="Times New Roman" w:cs="Times New Roman" w:eastAsia="Times New Roman" w:hAnsi="Times New Roman"/>
                <w:sz w:val="14"/>
                <w:szCs w:val="14"/>
                <w:b w:val="1"/>
                <w:bCs w:val="1"/>
                <w:color w:val="auto"/>
                <w:w w:val="99"/>
              </w:rPr>
              <w:t xml:space="preserve"> ​</w:t>
            </w:r>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7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 </w:t>
            </w:r>
            <w:r>
              <w:rPr>
                <w:rFonts w:ascii="Times New Roman" w:cs="Times New Roman" w:eastAsia="Times New Roman" w:hAnsi="Times New Roman"/>
                <w:sz w:val="14"/>
                <w:szCs w:val="14"/>
                <w:color w:val="0000EE"/>
                <w:w w:val="99"/>
              </w:rPr>
              <w:t>3</w:t>
            </w:r>
            <w:r>
              <w:rPr>
                <w:rFonts w:ascii="Times New Roman" w:cs="Times New Roman" w:eastAsia="Times New Roman" w:hAnsi="Times New Roman"/>
                <w:sz w:val="14"/>
                <w:szCs w:val="14"/>
                <w:b w:val="1"/>
                <w:bCs w:val="1"/>
                <w:color w:val="auto"/>
                <w:w w:val="99"/>
              </w:rPr>
              <w:t xml:space="preserve"> ​</w:t>
            </w:r>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7"/>
                <w:szCs w:val="7"/>
                <w:b w:val="1"/>
                <w:bCs w:val="1"/>
                <w:color w:val="auto"/>
                <w:w w:val="75"/>
              </w:rPr>
              <w:t xml:space="preserve">​ </w:t>
            </w:r>
            <w:r>
              <w:rPr>
                <w:rFonts w:ascii="Times New Roman" w:cs="Times New Roman" w:eastAsia="Times New Roman" w:hAnsi="Times New Roman"/>
                <w:sz w:val="7"/>
                <w:szCs w:val="7"/>
                <w:color w:val="0000EE"/>
                <w:w w:val="75"/>
              </w:rPr>
              <w:t>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7"/>
        </w:trPr>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7"/>
                <w:szCs w:val="7"/>
                <w:b w:val="1"/>
                <w:bCs w:val="1"/>
                <w:color w:val="auto"/>
                <w:w w:val="75"/>
              </w:rPr>
              <w:t xml:space="preserve">​ </w:t>
            </w:r>
            <w:r>
              <w:rPr>
                <w:rFonts w:ascii="Times New Roman" w:cs="Times New Roman" w:eastAsia="Times New Roman" w:hAnsi="Times New Roman"/>
                <w:sz w:val="7"/>
                <w:szCs w:val="7"/>
                <w:color w:val="0000EE"/>
                <w:w w:val="75"/>
              </w:rPr>
              <w:t>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6480" w:space="720"/>
            <w:col w:w="1819"/>
          </w:cols>
          <w:pgMar w:left="1440" w:top="104" w:right="1440" w:bottom="1440" w:gutter="0" w:footer="0" w:header="0"/>
          <w:type w:val="continuous"/>
        </w:sectPr>
      </w:pP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197485</wp:posOffset>
            </wp:positionV>
            <wp:extent cx="52444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2" w:name="page3"/>
    <w:bookmarkEnd w:id="2"/>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311" w:lineRule="exact"/>
        <w:rPr>
          <w:sz w:val="20"/>
          <w:szCs w:val="20"/>
          <w:color w:val="auto"/>
        </w:rPr>
      </w:pPr>
    </w:p>
    <w:tbl>
      <w:tblPr>
        <w:tblLayout w:type="fixed"/>
        <w:tblInd w:w="1360" w:type="dxa"/>
        <w:tblCellMar>
          <w:top w:w="0" w:type="dxa"/>
          <w:left w:w="0" w:type="dxa"/>
          <w:bottom w:w="0" w:type="dxa"/>
          <w:right w:w="0" w:type="dxa"/>
        </w:tblCellMar>
      </w:tblPr>
      <w:tr>
        <w:trPr>
          <w:trHeight w:val="291"/>
        </w:trPr>
        <w:tc>
          <w:tcPr>
            <w:tcW w:w="4880" w:type="dxa"/>
            <w:vAlign w:val="bottom"/>
            <w:gridSpan w:val="10"/>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440" w:type="dxa"/>
            <w:vAlign w:val="bottom"/>
            <w:gridSpan w:val="4"/>
          </w:tcPr>
          <w:p>
            <w:pPr>
              <w:ind w:left="1000"/>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tc>
      </w:tr>
      <w:tr>
        <w:trPr>
          <w:trHeight w:val="167"/>
        </w:trPr>
        <w:tc>
          <w:tcPr>
            <w:tcW w:w="4080" w:type="dxa"/>
            <w:vAlign w:val="bottom"/>
            <w:tcBorders>
              <w:top w:val="single" w:sz="8" w:color="CCEEFF"/>
              <w:bottom w:val="single" w:sz="8" w:color="0000EE"/>
            </w:tcBorders>
            <w:gridSpan w:val="8"/>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0000EE"/>
              </w:rPr>
              <w:t>DESCRIPTION OF JUNIOR SUBORDINATED DEBT SECURITIES</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CCEEFF"/>
              <w:bottom w:val="single" w:sz="8" w:color="CCEEFF"/>
            </w:tcBorders>
            <w:shd w:val="clear" w:color="auto" w:fill="CCEEFF"/>
          </w:tcPr>
          <w:p>
            <w:pPr>
              <w:ind w:left="1040"/>
              <w:spacing w:after="0" w:line="156"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auto"/>
              <w:bottom w:val="single" w:sz="8" w:color="0000EE"/>
              <w:right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15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1"/>
        </w:trPr>
        <w:tc>
          <w:tcPr>
            <w:tcW w:w="4880" w:type="dxa"/>
            <w:vAlign w:val="bottom"/>
            <w:tcBorders>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4"/>
                <w:szCs w:val="14"/>
                <w:color w:val="0000EE"/>
              </w:rPr>
              <w:t>DESCRIPTION OF CAPITAL STOCK OF PRINCIPAL FINANCIAL GROUP, INC</w:t>
            </w:r>
          </w:p>
        </w:tc>
        <w:tc>
          <w:tcPr>
            <w:tcW w:w="1220" w:type="dxa"/>
            <w:vAlign w:val="bottom"/>
            <w:gridSpan w:val="2"/>
          </w:tcPr>
          <w:p>
            <w:pPr>
              <w:ind w:left="1040"/>
              <w:spacing w:after="0" w:line="156"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26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2"/>
        </w:trPr>
        <w:tc>
          <w:tcPr>
            <w:tcW w:w="2640" w:type="dxa"/>
            <w:vAlign w:val="bottom"/>
            <w:tcBorders>
              <w:bottom w:val="single" w:sz="8" w:color="0000EE"/>
            </w:tcBorders>
            <w:gridSpan w:val="6"/>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0000EE"/>
              </w:rPr>
              <w:t>DESCRIPTION OF DEPOSITARY SHARES</w:t>
            </w:r>
          </w:p>
        </w:tc>
        <w:tc>
          <w:tcPr>
            <w:tcW w:w="3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right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30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1"/>
        </w:trPr>
        <w:tc>
          <w:tcPr>
            <w:tcW w:w="196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9"/>
              </w:rPr>
              <w:t>DESCRIPTION OF WARRANTS</w:t>
            </w:r>
          </w:p>
        </w:tc>
        <w:tc>
          <w:tcPr>
            <w:tcW w:w="28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136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2"/>
          </w:tcPr>
          <w:p>
            <w:pPr>
              <w:ind w:left="1040"/>
              <w:spacing w:after="0" w:line="156"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32</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3"/>
        </w:trPr>
        <w:tc>
          <w:tcPr>
            <w:tcW w:w="438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PURCHASE CONTRACTS AND PURCHASE UNITS</w:t>
            </w:r>
          </w:p>
        </w:tc>
        <w:tc>
          <w:tcPr>
            <w:tcW w:w="5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34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1"/>
        </w:trPr>
        <w:tc>
          <w:tcPr>
            <w:tcW w:w="1620" w:type="dxa"/>
            <w:vAlign w:val="bottom"/>
            <w:tcBorders>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4"/>
                <w:szCs w:val="14"/>
                <w:color w:val="0000EE"/>
              </w:rPr>
              <w:t>PLAN OF DISTRIBUTION</w:t>
            </w:r>
          </w:p>
        </w:tc>
        <w:tc>
          <w:tcPr>
            <w:tcW w:w="10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780" w:type="dxa"/>
            <w:vAlign w:val="bottom"/>
            <w:gridSpan w:val="2"/>
          </w:tcPr>
          <w:p>
            <w:pPr>
              <w:spacing w:after="0"/>
              <w:rPr>
                <w:sz w:val="15"/>
                <w:szCs w:val="15"/>
                <w:color w:val="auto"/>
              </w:rPr>
            </w:pPr>
          </w:p>
        </w:tc>
        <w:tc>
          <w:tcPr>
            <w:tcW w:w="1860" w:type="dxa"/>
            <w:vAlign w:val="bottom"/>
            <w:gridSpan w:val="3"/>
          </w:tcPr>
          <w:p>
            <w:pPr>
              <w:spacing w:after="0"/>
              <w:rPr>
                <w:sz w:val="15"/>
                <w:szCs w:val="15"/>
                <w:color w:val="auto"/>
              </w:rPr>
            </w:pPr>
          </w:p>
        </w:tc>
        <w:tc>
          <w:tcPr>
            <w:tcW w:w="12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35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3"/>
        </w:trPr>
        <w:tc>
          <w:tcPr>
            <w:tcW w:w="172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0000EE"/>
                <w:w w:val="99"/>
              </w:rPr>
              <w:t>VALIDITY OF SECURITIES</w:t>
            </w:r>
          </w:p>
        </w:tc>
        <w:tc>
          <w:tcPr>
            <w:tcW w:w="520" w:type="dxa"/>
            <w:vAlign w:val="bottom"/>
            <w:tcBorders>
              <w:bottom w:val="single" w:sz="8" w:color="CCEEFF"/>
            </w:tcBorders>
            <w:gridSpan w:val="2"/>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spacing w:after="0"/>
              <w:rPr>
                <w:sz w:val="16"/>
                <w:szCs w:val="16"/>
                <w:color w:val="auto"/>
              </w:rPr>
            </w:pPr>
          </w:p>
        </w:tc>
        <w:tc>
          <w:tcPr>
            <w:tcW w:w="1860" w:type="dxa"/>
            <w:vAlign w:val="bottom"/>
            <w:tcBorders>
              <w:bottom w:val="single" w:sz="8" w:color="CCEEFF"/>
            </w:tcBorders>
            <w:gridSpan w:val="3"/>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37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81"/>
        </w:trPr>
        <w:tc>
          <w:tcPr>
            <w:tcW w:w="600" w:type="dxa"/>
            <w:vAlign w:val="bottom"/>
            <w:tcBorders>
              <w:bottom w:val="single" w:sz="8" w:color="0000EE"/>
            </w:tcBorders>
          </w:tcPr>
          <w:p>
            <w:pPr>
              <w:spacing w:after="0" w:line="156" w:lineRule="exact"/>
              <w:rPr>
                <w:sz w:val="20"/>
                <w:szCs w:val="20"/>
                <w:color w:val="auto"/>
              </w:rPr>
            </w:pPr>
            <w:r>
              <w:rPr>
                <w:rFonts w:ascii="Times New Roman" w:cs="Times New Roman" w:eastAsia="Times New Roman" w:hAnsi="Times New Roman"/>
                <w:sz w:val="14"/>
                <w:szCs w:val="14"/>
                <w:color w:val="0000EE"/>
                <w:w w:val="95"/>
              </w:rPr>
              <w:t>EXPERTS</w:t>
            </w:r>
          </w:p>
        </w:tc>
        <w:tc>
          <w:tcPr>
            <w:tcW w:w="1640" w:type="dxa"/>
            <w:vAlign w:val="bottom"/>
            <w:gridSpan w:val="4"/>
          </w:tcPr>
          <w:p>
            <w:pPr>
              <w:spacing w:after="0"/>
              <w:rPr>
                <w:sz w:val="15"/>
                <w:szCs w:val="15"/>
                <w:color w:val="auto"/>
              </w:rPr>
            </w:pPr>
          </w:p>
        </w:tc>
        <w:tc>
          <w:tcPr>
            <w:tcW w:w="780" w:type="dxa"/>
            <w:vAlign w:val="bottom"/>
            <w:gridSpan w:val="2"/>
          </w:tcPr>
          <w:p>
            <w:pPr>
              <w:spacing w:after="0"/>
              <w:rPr>
                <w:sz w:val="15"/>
                <w:szCs w:val="15"/>
                <w:color w:val="auto"/>
              </w:rPr>
            </w:pPr>
          </w:p>
        </w:tc>
        <w:tc>
          <w:tcPr>
            <w:tcW w:w="1860" w:type="dxa"/>
            <w:vAlign w:val="bottom"/>
            <w:gridSpan w:val="3"/>
          </w:tcPr>
          <w:p>
            <w:pPr>
              <w:spacing w:after="0"/>
              <w:rPr>
                <w:sz w:val="15"/>
                <w:szCs w:val="15"/>
                <w:color w:val="auto"/>
              </w:rPr>
            </w:pPr>
          </w:p>
        </w:tc>
        <w:tc>
          <w:tcPr>
            <w:tcW w:w="12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37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93"/>
        </w:trPr>
        <w:tc>
          <w:tcPr>
            <w:tcW w:w="302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1860" w:type="dxa"/>
            <w:vAlign w:val="bottom"/>
            <w:tcBorders>
              <w:bottom w:val="single" w:sz="8" w:color="CCEEFF"/>
            </w:tcBorders>
            <w:gridSpan w:val="3"/>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37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76"/>
        </w:trPr>
        <w:tc>
          <w:tcPr>
            <w:tcW w:w="2240" w:type="dxa"/>
            <w:vAlign w:val="bottom"/>
            <w:tcBorders>
              <w:bottom w:val="single" w:sz="8" w:color="0000EE"/>
            </w:tcBorders>
            <w:gridSpan w:val="5"/>
          </w:tcPr>
          <w:p>
            <w:pPr>
              <w:spacing w:after="0" w:line="156"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2640" w:type="dxa"/>
            <w:vAlign w:val="bottom"/>
            <w:gridSpan w:val="5"/>
          </w:tcPr>
          <w:p>
            <w:pPr>
              <w:spacing w:after="0"/>
              <w:rPr>
                <w:sz w:val="15"/>
                <w:szCs w:val="15"/>
                <w:color w:val="auto"/>
              </w:rPr>
            </w:pPr>
          </w:p>
        </w:tc>
        <w:tc>
          <w:tcPr>
            <w:tcW w:w="122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0000EE"/>
            </w:tcBorders>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0000EE"/>
              </w:rPr>
              <w:t>38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-1280795</wp:posOffset>
            </wp:positionV>
            <wp:extent cx="383857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38575" cy="635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197485</wp:posOffset>
            </wp:positionV>
            <wp:extent cx="94678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6785" cy="63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360" w:right="1399" w:firstLine="276"/>
        <w:spacing w:after="0" w:line="250"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this offering of Notes and also adds to and updates information contained in the accompanying prospectus and the documents incorporated by reference into this prospectus supplement and the accompanying prospectus. The second part, the accompanying prospectus, gives more general information, some of which may not apply to this offering. To the extent there is a conflict between the information contained or incorporated by reference in this prospectus supplement (or any related company free writing prospectus), on the one hand, and the information contained or incorporated by reference in the accompanying prospectus, on the other hand, the information contained or incorporated by reference in this prospectus supplement (or any free writing prospectus) will control.</w:t>
      </w:r>
    </w:p>
    <w:p>
      <w:pPr>
        <w:spacing w:after="0" w:line="95" w:lineRule="exact"/>
        <w:rPr>
          <w:sz w:val="20"/>
          <w:szCs w:val="20"/>
          <w:color w:val="auto"/>
        </w:rPr>
      </w:pPr>
    </w:p>
    <w:p>
      <w:pPr>
        <w:ind w:left="1360" w:right="1499" w:firstLine="276"/>
        <w:spacing w:after="0" w:line="256"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registration statement that we filed jointly with Principal Financial Services, Inc. with the Securities and Exchange Commission (“SEC”) using a “shelf” registration process. Under the registration statement, we may, from time to time, sell securities, including the Notes being offered by this prospectus supplement.</w:t>
      </w:r>
    </w:p>
    <w:p>
      <w:pPr>
        <w:spacing w:after="0" w:line="79" w:lineRule="exact"/>
        <w:rPr>
          <w:sz w:val="20"/>
          <w:szCs w:val="20"/>
          <w:color w:val="auto"/>
        </w:rPr>
      </w:pPr>
    </w:p>
    <w:p>
      <w:pPr>
        <w:ind w:left="1360" w:right="1439" w:firstLine="276"/>
        <w:spacing w:after="0" w:line="254"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references in this prospectus supplement and the accompanying prospectus to “Principal,” the “Company,” “we,” “us” and “our” or similar terms are to Principal Financial Group, Inc. and its subsidiaries, references to “Principal Financial Services” and the “Subsidiary Guarantor” are to Principal Financial Services, Inc., and references to “Principal Life” are to Principal Life Insurance Company.</w:t>
      </w:r>
    </w:p>
    <w:p>
      <w:pPr>
        <w:spacing w:after="0" w:line="90" w:lineRule="exact"/>
        <w:rPr>
          <w:sz w:val="20"/>
          <w:szCs w:val="20"/>
          <w:color w:val="auto"/>
        </w:rPr>
      </w:pPr>
    </w:p>
    <w:p>
      <w:pPr>
        <w:ind w:left="1360" w:right="1439" w:firstLine="276"/>
        <w:spacing w:after="0" w:line="250" w:lineRule="auto"/>
        <w:rPr>
          <w:sz w:val="20"/>
          <w:szCs w:val="20"/>
          <w:color w:val="auto"/>
        </w:rPr>
      </w:pPr>
      <w:r>
        <w:rPr>
          <w:rFonts w:ascii="Times New Roman" w:cs="Times New Roman" w:eastAsia="Times New Roman" w:hAnsi="Times New Roman"/>
          <w:sz w:val="14"/>
          <w:szCs w:val="14"/>
          <w:color w:val="auto"/>
        </w:rPr>
        <w:t>We are offering to sell the Notes only in those jurisdictions in the United States, and may offer the Notes in those jurisdictions in Canada, Europe, Asia and elsewhere, where it is lawful to make such offers. The distribution of this prospectus supplement and the accompanying prospectus and the offering of the Notes in certain jurisdictions may be restricted by law. Persons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See the section entitled “Underwriting” in this prospectus supplement.</w:t>
      </w:r>
    </w:p>
    <w:p>
      <w:pPr>
        <w:spacing w:after="0" w:line="93" w:lineRule="exact"/>
        <w:rPr>
          <w:sz w:val="20"/>
          <w:szCs w:val="20"/>
          <w:color w:val="auto"/>
        </w:rPr>
      </w:pPr>
    </w:p>
    <w:p>
      <w:pPr>
        <w:ind w:left="1360" w:right="1459" w:firstLine="276"/>
        <w:spacing w:after="0" w:line="256" w:lineRule="auto"/>
        <w:rPr>
          <w:sz w:val="20"/>
          <w:szCs w:val="20"/>
          <w:color w:val="auto"/>
        </w:rPr>
      </w:pPr>
      <w:r>
        <w:rPr>
          <w:rFonts w:ascii="Times New Roman" w:cs="Times New Roman" w:eastAsia="Times New Roman" w:hAnsi="Times New Roman"/>
          <w:sz w:val="14"/>
          <w:szCs w:val="14"/>
          <w:color w:val="auto"/>
        </w:rPr>
        <w:t>You should read this entire prospectus supplement carefully, including the section entitled “Risk Factors” in this prospectus supplement, our consolidated financial statements and the related notes thereto and the other information incorporated by reference into this prospectus supplement and the accompanying prospectus and any related company free writing prospectus, before making an investment decision.</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 w:name="page4"/>
    <w:bookmarkEnd w:id="3"/>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0" w:lineRule="exact"/>
        <w:rPr>
          <w:sz w:val="20"/>
          <w:szCs w:val="20"/>
          <w:color w:val="auto"/>
        </w:rPr>
      </w:pPr>
    </w:p>
    <w:p>
      <w:pPr>
        <w:ind w:left="1360" w:right="1399" w:firstLine="276"/>
        <w:spacing w:after="0" w:line="239" w:lineRule="auto"/>
        <w:rPr>
          <w:sz w:val="20"/>
          <w:szCs w:val="20"/>
          <w:color w:val="auto"/>
        </w:rPr>
      </w:pPr>
      <w:r>
        <w:rPr>
          <w:rFonts w:ascii="Times New Roman" w:cs="Times New Roman" w:eastAsia="Times New Roman" w:hAnsi="Times New Roman"/>
          <w:sz w:val="14"/>
          <w:szCs w:val="14"/>
          <w:color w:val="auto"/>
        </w:rPr>
        <w:t>Certain of the statements contained in this prospectus supplement, the accompanying prospectus and the documents incorporated by reference herein and in the accompanying prospectus that are not historical facts may be considered forward-looking statements. These forward-looking statements are made pursuant to the safe harbor provisions of the Private Securities Litigation Reform Act of 1995 and include estimates and assumptions related to economic, competitive and legislative developments, capital and liquidity positions, sales and earnings trends, and management’s beliefs, expectations, goals and opinions. Except as required by applicable law, we do not undertake to publicly update these statements, which are based on a number of assumptions concerning future conditions that may ultimately prove to be inaccurate. Future events and their effects on us may not be those anticipated, and actual results may differ materially from the results anticipated in these forward-looking statements. The risks, uncertainties and factors that could cause or contribute to such material differences are discussed in our most recently filed Annual Report on</w:t>
      </w:r>
    </w:p>
    <w:p>
      <w:pPr>
        <w:spacing w:after="0" w:line="1" w:lineRule="exact"/>
        <w:rPr>
          <w:sz w:val="20"/>
          <w:szCs w:val="20"/>
          <w:color w:val="auto"/>
        </w:rPr>
      </w:pPr>
    </w:p>
    <w:p>
      <w:pPr>
        <w:ind w:left="1360" w:right="2079"/>
        <w:spacing w:after="0" w:line="239" w:lineRule="auto"/>
        <w:rPr>
          <w:sz w:val="20"/>
          <w:szCs w:val="20"/>
          <w:color w:val="auto"/>
        </w:rPr>
      </w:pPr>
      <w:r>
        <w:rPr>
          <w:rFonts w:ascii="Times New Roman" w:cs="Times New Roman" w:eastAsia="Times New Roman" w:hAnsi="Times New Roman"/>
          <w:sz w:val="14"/>
          <w:szCs w:val="14"/>
          <w:color w:val="auto"/>
        </w:rPr>
        <w:t>Form 10-K, as updated or supplemented from time to time in subsequent filings. These risks and uncertainties include, without limitation:</w:t>
      </w:r>
    </w:p>
    <w:p>
      <w:pPr>
        <w:spacing w:after="0" w:line="57" w:lineRule="exact"/>
        <w:rPr>
          <w:sz w:val="20"/>
          <w:szCs w:val="20"/>
          <w:color w:val="auto"/>
        </w:rPr>
      </w:pPr>
    </w:p>
    <w:p>
      <w:pPr>
        <w:ind w:left="1780" w:right="1659" w:hanging="147"/>
        <w:spacing w:after="0" w:line="276"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capital and credit market conditions may significantly affect our ability to meet liquidity needs, as well as our access to capital and cost of capital;</w:t>
      </w:r>
    </w:p>
    <w:p>
      <w:pPr>
        <w:spacing w:after="0" w:line="43" w:lineRule="exact"/>
        <w:rPr>
          <w:rFonts w:ascii="Times New Roman" w:cs="Times New Roman" w:eastAsia="Times New Roman" w:hAnsi="Times New Roman"/>
          <w:sz w:val="14"/>
          <w:szCs w:val="14"/>
          <w:color w:val="auto"/>
        </w:rPr>
      </w:pPr>
    </w:p>
    <w:p>
      <w:pPr>
        <w:ind w:left="1780" w:right="1659" w:hanging="147"/>
        <w:spacing w:after="0" w:line="276"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in the global capital markets, including the equity, bond or real estate markets and the economy generally may materially and adversely affect our business and results of operations;</w:t>
      </w:r>
    </w:p>
    <w:p>
      <w:pPr>
        <w:spacing w:after="0" w:line="43" w:lineRule="exact"/>
        <w:rPr>
          <w:rFonts w:ascii="Times New Roman" w:cs="Times New Roman" w:eastAsia="Times New Roman" w:hAnsi="Times New Roman"/>
          <w:sz w:val="14"/>
          <w:szCs w:val="14"/>
          <w:color w:val="auto"/>
        </w:rPr>
      </w:pPr>
    </w:p>
    <w:p>
      <w:pPr>
        <w:ind w:left="1780" w:right="1379" w:hanging="147"/>
        <w:spacing w:after="0" w:line="261"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or credit spreads or a prolonged low interest rate environment may adversely affect our results of operations, financial condition and liquidity, and our net income can vary from period to period;</w:t>
      </w:r>
    </w:p>
    <w:p>
      <w:pPr>
        <w:spacing w:after="0" w:line="54" w:lineRule="exact"/>
        <w:rPr>
          <w:rFonts w:ascii="Times New Roman" w:cs="Times New Roman" w:eastAsia="Times New Roman" w:hAnsi="Times New Roman"/>
          <w:sz w:val="14"/>
          <w:szCs w:val="14"/>
          <w:color w:val="auto"/>
        </w:rPr>
      </w:pPr>
    </w:p>
    <w:p>
      <w:pPr>
        <w:ind w:left="1780" w:right="1799" w:hanging="147"/>
        <w:spacing w:after="0" w:line="276"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 portfolio’s risks may reduce asset values, credited returns and overall financial performance;</w:t>
      </w:r>
    </w:p>
    <w:p>
      <w:pPr>
        <w:spacing w:after="0" w:line="43" w:lineRule="exact"/>
        <w:rPr>
          <w:rFonts w:ascii="Times New Roman" w:cs="Times New Roman" w:eastAsia="Times New Roman" w:hAnsi="Times New Roman"/>
          <w:sz w:val="14"/>
          <w:szCs w:val="14"/>
          <w:color w:val="auto"/>
        </w:rPr>
      </w:pPr>
    </w:p>
    <w:p>
      <w:pPr>
        <w:ind w:left="1780" w:right="1379" w:hanging="147"/>
        <w:spacing w:after="0" w:line="256"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valuation of investments and the determinations of the amount of allowances and impairments taken on our investments may include methodologies, estimations and assumptions that are subject to differing interpretations and, if changed, could materially adversely affect our results of operations or financial condition;</w:t>
      </w:r>
    </w:p>
    <w:p>
      <w:pPr>
        <w:spacing w:after="0" w:line="48" w:lineRule="exact"/>
        <w:rPr>
          <w:rFonts w:ascii="Times New Roman" w:cs="Times New Roman" w:eastAsia="Times New Roman" w:hAnsi="Times New Roman"/>
          <w:sz w:val="14"/>
          <w:szCs w:val="14"/>
          <w:color w:val="auto"/>
        </w:rPr>
      </w:pPr>
    </w:p>
    <w:p>
      <w:pPr>
        <w:ind w:left="1780" w:right="1539" w:hanging="147"/>
        <w:spacing w:after="0" w:line="276"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impairments of, or valuation allowances against, our deferred tax assets could adversely affect our results of operations and financial condition;</w:t>
      </w:r>
    </w:p>
    <w:p>
      <w:pPr>
        <w:spacing w:after="0" w:line="43" w:lineRule="exact"/>
        <w:rPr>
          <w:rFonts w:ascii="Times New Roman" w:cs="Times New Roman" w:eastAsia="Times New Roman" w:hAnsi="Times New Roman"/>
          <w:sz w:val="14"/>
          <w:szCs w:val="14"/>
          <w:color w:val="auto"/>
        </w:rPr>
      </w:pPr>
    </w:p>
    <w:p>
      <w:pPr>
        <w:ind w:left="1780" w:right="2079" w:hanging="147"/>
        <w:spacing w:after="0" w:line="276"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face losses on our insurance and annuity products if our actual experience differs significantly from our pricing and reserving assumptions;</w:t>
      </w:r>
    </w:p>
    <w:p>
      <w:pPr>
        <w:spacing w:after="0" w:line="43" w:lineRule="exact"/>
        <w:rPr>
          <w:rFonts w:ascii="Times New Roman" w:cs="Times New Roman" w:eastAsia="Times New Roman" w:hAnsi="Times New Roman"/>
          <w:sz w:val="14"/>
          <w:szCs w:val="14"/>
          <w:color w:val="auto"/>
        </w:rPr>
      </w:pPr>
    </w:p>
    <w:p>
      <w:pPr>
        <w:ind w:left="1780" w:right="1519" w:hanging="147"/>
        <w:spacing w:after="0" w:line="261"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pattern of amortizing our deferred acquisition cost (“DAC”) asset and other actuarial balances may change, impacting both the level of our DAC asset and other actuarial balances and the timing of our net income;</w:t>
      </w:r>
    </w:p>
    <w:p>
      <w:pPr>
        <w:spacing w:after="0" w:line="5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may reduce our profitability or impact how we do business;</w:t>
      </w:r>
    </w:p>
    <w:p>
      <w:pPr>
        <w:spacing w:after="0" w:line="87" w:lineRule="exact"/>
        <w:rPr>
          <w:rFonts w:ascii="Times New Roman" w:cs="Times New Roman" w:eastAsia="Times New Roman" w:hAnsi="Times New Roman"/>
          <w:sz w:val="14"/>
          <w:szCs w:val="14"/>
          <w:color w:val="auto"/>
        </w:rPr>
      </w:pPr>
    </w:p>
    <w:p>
      <w:pPr>
        <w:ind w:left="1780" w:right="1579" w:hanging="147"/>
        <w:spacing w:after="0" w:line="261"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stockholder dividends, make share repurchases and meet our obligations may be constrained by the limitations on dividends or other distributions Iowa insurance laws impose on Principal Life;</w:t>
      </w:r>
    </w:p>
    <w:p>
      <w:pPr>
        <w:spacing w:after="0" w:line="54" w:lineRule="exact"/>
        <w:rPr>
          <w:rFonts w:ascii="Times New Roman" w:cs="Times New Roman" w:eastAsia="Times New Roman" w:hAnsi="Times New Roman"/>
          <w:sz w:val="14"/>
          <w:szCs w:val="14"/>
          <w:color w:val="auto"/>
        </w:rPr>
      </w:pPr>
    </w:p>
    <w:p>
      <w:pPr>
        <w:ind w:left="1780" w:right="1399" w:hanging="147"/>
        <w:spacing w:after="0" w:line="276"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may adversely affect our reported results of operations and financial condition;</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and regulatory investigations may affect our financial strength or reduce our profitability;</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reputation may adversely affect our revenues and profitability;</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protect our intellectual property and may be subject to infringement claims;</w:t>
      </w:r>
    </w:p>
    <w:p>
      <w:pPr>
        <w:spacing w:after="0" w:line="87" w:lineRule="exact"/>
        <w:rPr>
          <w:rFonts w:ascii="Times New Roman" w:cs="Times New Roman" w:eastAsia="Times New Roman" w:hAnsi="Times New Roman"/>
          <w:sz w:val="14"/>
          <w:szCs w:val="14"/>
          <w:color w:val="auto"/>
        </w:rPr>
      </w:pPr>
    </w:p>
    <w:p>
      <w:pPr>
        <w:ind w:left="1780" w:right="1439" w:hanging="147"/>
        <w:spacing w:after="0" w:line="276"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may become subject to tax audits, tax litigation or similar proceedings, and as a result we may owe additional taxes, interest and penalties in amounts that may be material;</w:t>
      </w:r>
    </w:p>
    <w:p>
      <w:pPr>
        <w:spacing w:after="0" w:line="43" w:lineRule="exact"/>
        <w:rPr>
          <w:rFonts w:ascii="Times New Roman" w:cs="Times New Roman" w:eastAsia="Times New Roman" w:hAnsi="Times New Roman"/>
          <w:sz w:val="14"/>
          <w:szCs w:val="14"/>
          <w:color w:val="auto"/>
        </w:rPr>
      </w:pPr>
    </w:p>
    <w:p>
      <w:pPr>
        <w:ind w:left="1780" w:right="1759" w:hanging="147"/>
        <w:spacing w:after="0" w:line="276" w:lineRule="auto"/>
        <w:tabs>
          <w:tab w:leader="none" w:pos="17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laws and our certificate of incorporation and by-laws may discourage takeovers and business combinations that some stockholders might consider in their best interests;</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196850</wp:posOffset>
            </wp:positionV>
            <wp:extent cx="52444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80" w:right="1899" w:hanging="147"/>
        <w:spacing w:after="0" w:line="276"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risk management framework may not identify or mitigate all risks, potentially leading to unexpected losses;</w:t>
      </w:r>
    </w:p>
    <w:p>
      <w:pPr>
        <w:spacing w:after="0" w:line="43" w:lineRule="exact"/>
        <w:rPr>
          <w:rFonts w:ascii="Times New Roman" w:cs="Times New Roman" w:eastAsia="Times New Roman" w:hAnsi="Times New Roman"/>
          <w:sz w:val="14"/>
          <w:szCs w:val="14"/>
          <w:color w:val="auto"/>
        </w:rPr>
      </w:pPr>
    </w:p>
    <w:p>
      <w:pPr>
        <w:ind w:left="1780" w:right="1419" w:hanging="147"/>
        <w:spacing w:after="0" w:line="261"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including from companies that may have greater financial resources, broader arrays of products, higher ratings and stronger financial performance, may impair our ability to retain existing customers, attract new customers and maintain our profitability;</w:t>
      </w:r>
    </w:p>
    <w:p>
      <w:pPr>
        <w:spacing w:after="0" w:line="54" w:lineRule="exact"/>
        <w:rPr>
          <w:rFonts w:ascii="Times New Roman" w:cs="Times New Roman" w:eastAsia="Times New Roman" w:hAnsi="Times New Roman"/>
          <w:sz w:val="14"/>
          <w:szCs w:val="14"/>
          <w:color w:val="auto"/>
        </w:rPr>
      </w:pPr>
    </w:p>
    <w:p>
      <w:pPr>
        <w:ind w:left="1780" w:right="1559" w:hanging="147"/>
        <w:spacing w:after="0" w:line="256"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downgrade in our financial strength or credit ratings may increase policy surrenders and withdrawals, reduce new sales, terminate relationships with distributors, impact existing liabilities and increase our cost of capital, any of which could adversely affect our profitability and financial condition;</w:t>
      </w:r>
    </w:p>
    <w:p>
      <w:pPr>
        <w:spacing w:after="0" w:line="58" w:lineRule="exact"/>
        <w:rPr>
          <w:rFonts w:ascii="Times New Roman" w:cs="Times New Roman" w:eastAsia="Times New Roman" w:hAnsi="Times New Roman"/>
          <w:sz w:val="14"/>
          <w:szCs w:val="14"/>
          <w:color w:val="auto"/>
        </w:rPr>
      </w:pPr>
    </w:p>
    <w:p>
      <w:pPr>
        <w:ind w:left="1780" w:right="1699" w:hanging="147"/>
        <w:spacing w:after="0" w:line="276"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client terminations or withdrawals or changes in investor preferences may lead to a reduction in revenues for our asset management and accumulation businesses;</w:t>
      </w:r>
    </w:p>
    <w:p>
      <w:pPr>
        <w:spacing w:after="0" w:line="43" w:lineRule="exact"/>
        <w:rPr>
          <w:rFonts w:ascii="Times New Roman" w:cs="Times New Roman" w:eastAsia="Times New Roman" w:hAnsi="Times New Roman"/>
          <w:sz w:val="14"/>
          <w:szCs w:val="14"/>
          <w:color w:val="auto"/>
        </w:rPr>
      </w:pPr>
    </w:p>
    <w:p>
      <w:pPr>
        <w:ind w:left="1780" w:right="1419" w:hanging="147"/>
        <w:spacing w:after="0" w:line="261"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within certain of our products that protect policyholders may decrease our net income or increase the volatility of our results of operations or financial position under U.S. generally accepted accounting principles if our hedging or risk management strategies prove ineffective or insufficient;</w:t>
      </w:r>
    </w:p>
    <w:p>
      <w:pPr>
        <w:spacing w:after="0" w:line="54" w:lineRule="exact"/>
        <w:rPr>
          <w:rFonts w:ascii="Times New Roman" w:cs="Times New Roman" w:eastAsia="Times New Roman" w:hAnsi="Times New Roman"/>
          <w:sz w:val="14"/>
          <w:szCs w:val="14"/>
          <w:color w:val="auto"/>
        </w:rPr>
      </w:pPr>
    </w:p>
    <w:p>
      <w:pPr>
        <w:ind w:left="1780" w:right="1619" w:hanging="147"/>
        <w:spacing w:after="0" w:line="276"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international businesses face political, legal, operational and other risks that could reduce our profitability in those businesses;</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arising from fraudulent activities;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arising from vendor failures or data breaches;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arising from our participation in joint ventures;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fund deficiencies in our “Closed Block” assets;</w:t>
      </w:r>
    </w:p>
    <w:p>
      <w:pPr>
        <w:spacing w:after="0" w:line="87" w:lineRule="exact"/>
        <w:rPr>
          <w:rFonts w:ascii="Times New Roman" w:cs="Times New Roman" w:eastAsia="Times New Roman" w:hAnsi="Times New Roman"/>
          <w:sz w:val="14"/>
          <w:szCs w:val="14"/>
          <w:color w:val="auto"/>
        </w:rPr>
      </w:pPr>
    </w:p>
    <w:p>
      <w:pPr>
        <w:ind w:left="1780" w:right="1399" w:hanging="147"/>
        <w:spacing w:after="0" w:line="276"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reinsurers could default on their obligations or increase their rates, which could adversely impact our net income and financial condition;</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arising from future acquisitions of businesses;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in administering coinsurance with funds withheld reinsurance agreements;</w:t>
      </w:r>
    </w:p>
    <w:p>
      <w:pPr>
        <w:spacing w:after="0" w:line="87" w:lineRule="exact"/>
        <w:rPr>
          <w:rFonts w:ascii="Times New Roman" w:cs="Times New Roman" w:eastAsia="Times New Roman" w:hAnsi="Times New Roman"/>
          <w:sz w:val="14"/>
          <w:szCs w:val="14"/>
          <w:color w:val="auto"/>
        </w:rPr>
      </w:pPr>
    </w:p>
    <w:p>
      <w:pPr>
        <w:jc w:val="both"/>
        <w:ind w:left="1780" w:right="1679" w:hanging="147"/>
        <w:spacing w:after="0" w:line="261"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develop and retain qualified employees and sales representatives and develop new distribution sources, our results of operations, financial condition, strategic growth commitments and sales of our products may be adversely impacted;</w:t>
      </w:r>
    </w:p>
    <w:p>
      <w:pPr>
        <w:spacing w:after="0" w:line="54" w:lineRule="exact"/>
        <w:rPr>
          <w:rFonts w:ascii="Times New Roman" w:cs="Times New Roman" w:eastAsia="Times New Roman" w:hAnsi="Times New Roman"/>
          <w:sz w:val="14"/>
          <w:szCs w:val="14"/>
          <w:color w:val="auto"/>
        </w:rPr>
      </w:pPr>
    </w:p>
    <w:p>
      <w:pPr>
        <w:ind w:left="1780" w:right="1479" w:hanging="147"/>
        <w:spacing w:after="0" w:line="256" w:lineRule="auto"/>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in information technology, infrastructure or other internal or external systems used for our business operations, or a failure to maintain the confidentiality, integrity or availability of data residing on such systems, could disrupt our business, damage our reputation and adversely impact our profitability;</w:t>
      </w:r>
    </w:p>
    <w:p>
      <w:pPr>
        <w:spacing w:after="0" w:line="58"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results may be adversely impacted by global climate changes; and</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catastrophic events could adversely affect our operations, net income or financial condition.</w:t>
      </w:r>
    </w:p>
    <w:p>
      <w:pPr>
        <w:spacing w:after="0" w:line="118" w:lineRule="exact"/>
        <w:rPr>
          <w:sz w:val="20"/>
          <w:szCs w:val="20"/>
          <w:color w:val="auto"/>
        </w:rPr>
      </w:pPr>
    </w:p>
    <w:p>
      <w:pPr>
        <w:ind w:left="1360" w:right="1459" w:firstLine="276"/>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Additional information concerning these and other factors is contained in our filings with the SEC, including but not limited to our </w:t>
      </w:r>
      <w:hyperlink r:id="rId29">
        <w:r>
          <w:rPr>
            <w:rFonts w:ascii="Times New Roman" w:cs="Times New Roman" w:eastAsia="Times New Roman" w:hAnsi="Times New Roman"/>
            <w:sz w:val="14"/>
            <w:szCs w:val="14"/>
            <w:u w:val="single" w:color="auto"/>
            <w:color w:val="0000EE"/>
          </w:rPr>
          <w:t>Annual Report on Form 10-K for the year ended 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(the “2025 Form 10-K”) and our </w:t>
      </w:r>
      <w:hyperlink r:id="rId30">
        <w:r>
          <w:rPr>
            <w:rFonts w:ascii="Times New Roman" w:cs="Times New Roman" w:eastAsia="Times New Roman" w:hAnsi="Times New Roman"/>
            <w:sz w:val="14"/>
            <w:szCs w:val="14"/>
            <w:u w:val="single" w:color="auto"/>
            <w:color w:val="0000EE"/>
          </w:rPr>
          <w:t>Quarterly Report on Form 10-Q for the quarter ended March 31,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(the “Q1 2026 Form 10-Q”), each incorporated by reference in this prospectus supplement and the accompanying prospectus, and the risk factors or uncertainties listed in the sections entitled “Risk Factors” in this prospectus supplement, the 2025 Form 10-K and the Q1 2026 Form 10-Q, as well as in the other documents incorporated by reference in this prospectus supplement and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 w:name="page6"/>
    <w:bookmarkEnd w:id="5"/>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250190</wp:posOffset>
            </wp:positionV>
            <wp:extent cx="4232275" cy="6105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4232275" cy="610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18" w:lineRule="exact"/>
        <w:rPr>
          <w:sz w:val="20"/>
          <w:szCs w:val="20"/>
          <w:color w:val="auto"/>
        </w:rPr>
      </w:pPr>
    </w:p>
    <w:p>
      <w:pPr>
        <w:ind w:left="1380" w:right="1359" w:firstLine="276"/>
        <w:spacing w:after="0" w:line="252"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supplement and the accompanying prospectus or incorporated by reference in this prospectus supplement and the accompanying prospectus. This summary does not contain all of the information that you should consider before deciding to invest in the Notes. You should read this entire prospectus supplement and the accompanying prospectus carefully, including the section entitled “Risk Factors” in this prospectus supplement and the documents incorporated by reference in this prospectus supplement and the accompanying prospectus, which contain our consolidated financial statements and the related notes.</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Principal Financial Group, Inc.</w:t>
      </w:r>
    </w:p>
    <w:p>
      <w:pPr>
        <w:spacing w:after="0" w:line="120" w:lineRule="exact"/>
        <w:rPr>
          <w:sz w:val="20"/>
          <w:szCs w:val="20"/>
          <w:color w:val="auto"/>
        </w:rPr>
      </w:pPr>
    </w:p>
    <w:p>
      <w:pPr>
        <w:ind w:left="1380" w:right="1439" w:firstLine="276"/>
        <w:spacing w:after="0" w:line="254" w:lineRule="auto"/>
        <w:rPr>
          <w:sz w:val="20"/>
          <w:szCs w:val="20"/>
          <w:color w:val="auto"/>
        </w:rPr>
      </w:pPr>
      <w:r>
        <w:rPr>
          <w:rFonts w:ascii="Times New Roman" w:cs="Times New Roman" w:eastAsia="Times New Roman" w:hAnsi="Times New Roman"/>
          <w:sz w:val="14"/>
          <w:szCs w:val="14"/>
          <w:color w:val="auto"/>
        </w:rPr>
        <w:t>Principal Financial Group, Inc. is a leader in global financial services, offering businesses, individuals and institutional clients a wide range of financial products and services, including retirement, asset management and workplace benefits and protection solutions through our diverse family of financial services companies. We had $1,788.5 billion in assets under administration, including $770.2 billion in assets under management as of March 31, 2026.</w:t>
      </w:r>
    </w:p>
    <w:p>
      <w:pPr>
        <w:spacing w:after="0" w:line="80" w:lineRule="exact"/>
        <w:rPr>
          <w:sz w:val="20"/>
          <w:szCs w:val="20"/>
          <w:color w:val="auto"/>
        </w:rPr>
      </w:pPr>
    </w:p>
    <w:p>
      <w:pPr>
        <w:ind w:left="1380" w:right="1419" w:firstLine="276"/>
        <w:spacing w:after="0" w:line="252" w:lineRule="auto"/>
        <w:rPr>
          <w:sz w:val="20"/>
          <w:szCs w:val="20"/>
          <w:color w:val="auto"/>
        </w:rPr>
      </w:pPr>
      <w:r>
        <w:rPr>
          <w:rFonts w:ascii="Times New Roman" w:cs="Times New Roman" w:eastAsia="Times New Roman" w:hAnsi="Times New Roman"/>
          <w:sz w:val="14"/>
          <w:szCs w:val="14"/>
          <w:color w:val="auto"/>
        </w:rPr>
        <w:t>Our global asset management businesses serve a broad range of institutional, retirement, high net worth, and retail investors worldwide. Our focused investment teams provide diverse, long-term investment capabilities including equity, fixed income, real estate, and other alternative investments, as well as fund offerings. Our international asset management and accumulation businesses focus on the opportunities created as aging populations around the world drive increased demand for retirement accumulation, retirement asset management and retirement income management solutions.</w:t>
      </w:r>
    </w:p>
    <w:p>
      <w:pPr>
        <w:spacing w:after="0" w:line="93" w:lineRule="exact"/>
        <w:rPr>
          <w:sz w:val="20"/>
          <w:szCs w:val="20"/>
          <w:color w:val="auto"/>
        </w:rPr>
      </w:pPr>
    </w:p>
    <w:p>
      <w:pPr>
        <w:ind w:left="1380" w:right="1459" w:firstLine="276"/>
        <w:spacing w:after="0" w:line="251" w:lineRule="auto"/>
        <w:rPr>
          <w:sz w:val="20"/>
          <w:szCs w:val="20"/>
          <w:color w:val="auto"/>
        </w:rPr>
      </w:pPr>
      <w:r>
        <w:rPr>
          <w:rFonts w:ascii="Times New Roman" w:cs="Times New Roman" w:eastAsia="Times New Roman" w:hAnsi="Times New Roman"/>
          <w:sz w:val="14"/>
          <w:szCs w:val="14"/>
          <w:color w:val="auto"/>
        </w:rPr>
        <w:t>In the U.S., we offer a broad array of retirement and employee benefit and insurance solutions to meet the needs of the business owner and their employees. We are a leading provider of defined contribution plans, nonqualified plans, defined benefit plans and pension risk transfer services. We are also a leading employee stock ownership plan consultant. In addition, we are one of the largest providers of specialty benefits and insurance solutions for business owners and their employees. We believe small and medium-sized businesses are an underserved market, offering attractive growth opportunities in the retirement and employee benefit markets.</w:t>
      </w:r>
    </w:p>
    <w:p>
      <w:pPr>
        <w:spacing w:after="0" w:line="95" w:lineRule="exact"/>
        <w:rPr>
          <w:sz w:val="20"/>
          <w:szCs w:val="20"/>
          <w:color w:val="auto"/>
        </w:rPr>
      </w:pPr>
    </w:p>
    <w:p>
      <w:pPr>
        <w:ind w:left="1380" w:right="1619" w:firstLine="276"/>
        <w:spacing w:after="0" w:line="261" w:lineRule="auto"/>
        <w:rPr>
          <w:sz w:val="20"/>
          <w:szCs w:val="20"/>
          <w:color w:val="auto"/>
        </w:rPr>
      </w:pPr>
      <w:r>
        <w:rPr>
          <w:rFonts w:ascii="Times New Roman" w:cs="Times New Roman" w:eastAsia="Times New Roman" w:hAnsi="Times New Roman"/>
          <w:sz w:val="14"/>
          <w:szCs w:val="14"/>
          <w:color w:val="auto"/>
        </w:rPr>
        <w:t>The principal executive office for both Principal Financial Group, Inc. and Principal Financial Services, Inc. is located at 711 High Street, Des Moines, Iowa 50392, and the telephone number is (515) 247-5111.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250190</wp:posOffset>
            </wp:positionV>
            <wp:extent cx="4232275" cy="635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4232275" cy="635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18" w:lineRule="exact"/>
        <w:rPr>
          <w:sz w:val="20"/>
          <w:szCs w:val="20"/>
          <w:color w:val="auto"/>
        </w:rPr>
      </w:pPr>
    </w:p>
    <w:p>
      <w:pPr>
        <w:ind w:left="1380" w:right="1499" w:firstLine="276"/>
        <w:spacing w:after="0" w:line="262" w:lineRule="auto"/>
        <w:rPr>
          <w:sz w:val="20"/>
          <w:szCs w:val="20"/>
          <w:color w:val="auto"/>
        </w:rPr>
      </w:pPr>
      <w:r>
        <w:rPr>
          <w:rFonts w:ascii="Times New Roman" w:cs="Times New Roman" w:eastAsia="Times New Roman" w:hAnsi="Times New Roman"/>
          <w:sz w:val="14"/>
          <w:szCs w:val="14"/>
          <w:i w:val="1"/>
          <w:iCs w:val="1"/>
          <w:color w:val="auto"/>
        </w:rPr>
        <w:t>The terms of the Notes are summarized below solely for your convenience. This summary is not a complete description of the Notes. You should read the full text and more specific details contained elsewhere in this prospectus supplement, any company free writing prospectus and the accompanying prospectus. For a more detailed description of the Notes and the Subsidiary Guarantee, see the discussion in the section entitled “Description of the Notes” in this prospectus supplement and “Description of Debt Securities” and “Description of Guarantee of Principal Financial Services, Inc.” in the accompanying prospectus.</w:t>
      </w:r>
    </w:p>
    <w:p>
      <w:pPr>
        <w:spacing w:after="0" w:line="64"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78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Principal Financial Group, Inc.</w:t>
            </w:r>
          </w:p>
        </w:tc>
        <w:tc>
          <w:tcPr>
            <w:tcW w:w="760" w:type="dxa"/>
            <w:vAlign w:val="bottom"/>
          </w:tcPr>
          <w:p>
            <w:pPr>
              <w:spacing w:after="0"/>
              <w:rPr>
                <w:sz w:val="15"/>
                <w:szCs w:val="15"/>
                <w:color w:val="auto"/>
              </w:rPr>
            </w:pPr>
          </w:p>
        </w:tc>
      </w:tr>
      <w:tr>
        <w:trPr>
          <w:trHeight w:val="248"/>
        </w:trPr>
        <w:tc>
          <w:tcPr>
            <w:tcW w:w="780" w:type="dxa"/>
            <w:vAlign w:val="bottom"/>
          </w:tcPr>
          <w:p>
            <w:pPr>
              <w:spacing w:after="0"/>
              <w:rPr>
                <w:sz w:val="21"/>
                <w:szCs w:val="21"/>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Subsidiary Guarantor</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Principal Financial Services, Inc.</w:t>
            </w:r>
          </w:p>
        </w:tc>
        <w:tc>
          <w:tcPr>
            <w:tcW w:w="760" w:type="dxa"/>
            <w:vAlign w:val="bottom"/>
          </w:tcPr>
          <w:p>
            <w:pPr>
              <w:spacing w:after="0"/>
              <w:rPr>
                <w:sz w:val="21"/>
                <w:szCs w:val="21"/>
                <w:color w:val="auto"/>
              </w:rPr>
            </w:pPr>
          </w:p>
        </w:tc>
      </w:tr>
      <w:tr>
        <w:trPr>
          <w:trHeight w:val="233"/>
        </w:trPr>
        <w:tc>
          <w:tcPr>
            <w:tcW w:w="78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Notes Offered</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$400,000,000 aggregate principal amount of 5.300% Senior</w:t>
            </w:r>
          </w:p>
        </w:tc>
        <w:tc>
          <w:tcPr>
            <w:tcW w:w="760" w:type="dxa"/>
            <w:vAlign w:val="bottom"/>
          </w:tcPr>
          <w:p>
            <w:pPr>
              <w:spacing w:after="0"/>
              <w:rPr>
                <w:sz w:val="20"/>
                <w:szCs w:val="20"/>
                <w:color w:val="auto"/>
              </w:rPr>
            </w:pPr>
          </w:p>
        </w:tc>
      </w:tr>
      <w:tr>
        <w:trPr>
          <w:trHeight w:val="181"/>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Notes due 2037 (the “Notes”).</w:t>
            </w:r>
          </w:p>
        </w:tc>
        <w:tc>
          <w:tcPr>
            <w:tcW w:w="760" w:type="dxa"/>
            <w:vAlign w:val="bottom"/>
          </w:tcPr>
          <w:p>
            <w:pPr>
              <w:spacing w:after="0"/>
              <w:rPr>
                <w:sz w:val="15"/>
                <w:szCs w:val="15"/>
                <w:color w:val="auto"/>
              </w:rPr>
            </w:pPr>
          </w:p>
        </w:tc>
      </w:tr>
      <w:tr>
        <w:trPr>
          <w:trHeight w:val="248"/>
        </w:trPr>
        <w:tc>
          <w:tcPr>
            <w:tcW w:w="780" w:type="dxa"/>
            <w:vAlign w:val="bottom"/>
          </w:tcPr>
          <w:p>
            <w:pPr>
              <w:spacing w:after="0"/>
              <w:rPr>
                <w:sz w:val="21"/>
                <w:szCs w:val="21"/>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Notes will mature on January 15, 2037.</w:t>
            </w:r>
          </w:p>
        </w:tc>
        <w:tc>
          <w:tcPr>
            <w:tcW w:w="760" w:type="dxa"/>
            <w:vAlign w:val="bottom"/>
          </w:tcPr>
          <w:p>
            <w:pPr>
              <w:spacing w:after="0"/>
              <w:rPr>
                <w:sz w:val="21"/>
                <w:szCs w:val="21"/>
                <w:color w:val="auto"/>
              </w:rPr>
            </w:pPr>
          </w:p>
        </w:tc>
      </w:tr>
      <w:tr>
        <w:trPr>
          <w:trHeight w:val="233"/>
        </w:trPr>
        <w:tc>
          <w:tcPr>
            <w:tcW w:w="78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January 15 and July 15 of each year, beginning on January 15,</w:t>
            </w:r>
          </w:p>
        </w:tc>
        <w:tc>
          <w:tcPr>
            <w:tcW w:w="760" w:type="dxa"/>
            <w:vAlign w:val="bottom"/>
          </w:tcPr>
          <w:p>
            <w:pPr>
              <w:spacing w:after="0"/>
              <w:rPr>
                <w:sz w:val="20"/>
                <w:szCs w:val="20"/>
                <w:color w:val="auto"/>
              </w:rPr>
            </w:pPr>
          </w:p>
        </w:tc>
      </w:tr>
      <w:tr>
        <w:trPr>
          <w:trHeight w:val="181"/>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2027.</w:t>
            </w:r>
          </w:p>
        </w:tc>
        <w:tc>
          <w:tcPr>
            <w:tcW w:w="760" w:type="dxa"/>
            <w:vAlign w:val="bottom"/>
          </w:tcPr>
          <w:p>
            <w:pPr>
              <w:spacing w:after="0"/>
              <w:rPr>
                <w:sz w:val="15"/>
                <w:szCs w:val="15"/>
                <w:color w:val="auto"/>
              </w:rPr>
            </w:pPr>
          </w:p>
        </w:tc>
      </w:tr>
      <w:tr>
        <w:trPr>
          <w:trHeight w:val="233"/>
        </w:trPr>
        <w:tc>
          <w:tcPr>
            <w:tcW w:w="78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Record Dates</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January 1 or July 1 of each year immediately preceding the</w:t>
            </w:r>
          </w:p>
        </w:tc>
        <w:tc>
          <w:tcPr>
            <w:tcW w:w="760" w:type="dxa"/>
            <w:vAlign w:val="bottom"/>
          </w:tcPr>
          <w:p>
            <w:pPr>
              <w:spacing w:after="0"/>
              <w:rPr>
                <w:sz w:val="20"/>
                <w:szCs w:val="20"/>
                <w:color w:val="auto"/>
              </w:rPr>
            </w:pPr>
          </w:p>
        </w:tc>
      </w:tr>
      <w:tr>
        <w:trPr>
          <w:trHeight w:val="181"/>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related interest payment date.</w:t>
            </w:r>
          </w:p>
        </w:tc>
        <w:tc>
          <w:tcPr>
            <w:tcW w:w="760" w:type="dxa"/>
            <w:vAlign w:val="bottom"/>
          </w:tcPr>
          <w:p>
            <w:pPr>
              <w:spacing w:after="0"/>
              <w:rPr>
                <w:sz w:val="15"/>
                <w:szCs w:val="15"/>
                <w:color w:val="auto"/>
              </w:rPr>
            </w:pPr>
          </w:p>
        </w:tc>
      </w:tr>
      <w:tr>
        <w:trPr>
          <w:trHeight w:val="231"/>
        </w:trPr>
        <w:tc>
          <w:tcPr>
            <w:tcW w:w="78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Optional Redemption; No Sinking</w:t>
            </w:r>
          </w:p>
        </w:tc>
        <w:tc>
          <w:tcPr>
            <w:tcW w:w="4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68"/>
        </w:trPr>
        <w:tc>
          <w:tcPr>
            <w:tcW w:w="780" w:type="dxa"/>
            <w:vAlign w:val="bottom"/>
          </w:tcPr>
          <w:p>
            <w:pPr>
              <w:spacing w:after="0"/>
              <w:rPr>
                <w:sz w:val="14"/>
                <w:szCs w:val="14"/>
                <w:color w:val="auto"/>
              </w:rPr>
            </w:pPr>
          </w:p>
        </w:tc>
        <w:tc>
          <w:tcPr>
            <w:tcW w:w="24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Fund</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 may redeem the Notes at our option, in whole or in part, at</w:t>
            </w:r>
          </w:p>
        </w:tc>
        <w:tc>
          <w:tcPr>
            <w:tcW w:w="7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any time and from time to time, at the redemption prices</w:t>
            </w:r>
          </w:p>
        </w:tc>
        <w:tc>
          <w:tcPr>
            <w:tcW w:w="7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described in the section entitled “Description of the Notes — </w:t>
            </w:r>
          </w:p>
        </w:tc>
        <w:tc>
          <w:tcPr>
            <w:tcW w:w="7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Optional Redemption; No Sinking Fund” in this prospectus</w:t>
            </w:r>
          </w:p>
        </w:tc>
        <w:tc>
          <w:tcPr>
            <w:tcW w:w="760" w:type="dxa"/>
            <w:vAlign w:val="bottom"/>
          </w:tcPr>
          <w:p>
            <w:pPr>
              <w:spacing w:after="0"/>
              <w:rPr>
                <w:sz w:val="14"/>
                <w:szCs w:val="14"/>
                <w:color w:val="auto"/>
              </w:rPr>
            </w:pPr>
          </w:p>
        </w:tc>
      </w:tr>
      <w:tr>
        <w:trPr>
          <w:trHeight w:val="181"/>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supplement.</w:t>
            </w:r>
          </w:p>
        </w:tc>
        <w:tc>
          <w:tcPr>
            <w:tcW w:w="760" w:type="dxa"/>
            <w:vAlign w:val="bottom"/>
          </w:tcPr>
          <w:p>
            <w:pPr>
              <w:spacing w:after="0"/>
              <w:rPr>
                <w:sz w:val="15"/>
                <w:szCs w:val="15"/>
                <w:color w:val="auto"/>
              </w:rPr>
            </w:pPr>
          </w:p>
        </w:tc>
      </w:tr>
      <w:tr>
        <w:trPr>
          <w:trHeight w:val="269"/>
        </w:trPr>
        <w:tc>
          <w:tcPr>
            <w:tcW w:w="7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Notes will not have the benefit of any sinking fund.</w:t>
            </w:r>
          </w:p>
        </w:tc>
        <w:tc>
          <w:tcPr>
            <w:tcW w:w="760" w:type="dxa"/>
            <w:vAlign w:val="bottom"/>
          </w:tcPr>
          <w:p>
            <w:pPr>
              <w:spacing w:after="0"/>
              <w:rPr>
                <w:sz w:val="23"/>
                <w:szCs w:val="23"/>
                <w:color w:val="auto"/>
              </w:rPr>
            </w:pPr>
          </w:p>
        </w:tc>
      </w:tr>
      <w:tr>
        <w:trPr>
          <w:trHeight w:val="233"/>
        </w:trPr>
        <w:tc>
          <w:tcPr>
            <w:tcW w:w="78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No Listing</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Notes will not be listed on any securities exchange or</w:t>
            </w:r>
          </w:p>
        </w:tc>
        <w:tc>
          <w:tcPr>
            <w:tcW w:w="760" w:type="dxa"/>
            <w:vAlign w:val="bottom"/>
          </w:tcPr>
          <w:p>
            <w:pPr>
              <w:spacing w:after="0"/>
              <w:rPr>
                <w:sz w:val="20"/>
                <w:szCs w:val="20"/>
                <w:color w:val="auto"/>
              </w:rPr>
            </w:pPr>
          </w:p>
        </w:tc>
      </w:tr>
      <w:tr>
        <w:trPr>
          <w:trHeight w:val="181"/>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included in any automated quotation system.</w:t>
            </w:r>
          </w:p>
        </w:tc>
        <w:tc>
          <w:tcPr>
            <w:tcW w:w="760" w:type="dxa"/>
            <w:vAlign w:val="bottom"/>
          </w:tcPr>
          <w:p>
            <w:pPr>
              <w:spacing w:after="0"/>
              <w:rPr>
                <w:sz w:val="15"/>
                <w:szCs w:val="15"/>
                <w:color w:val="auto"/>
              </w:rPr>
            </w:pPr>
          </w:p>
        </w:tc>
      </w:tr>
      <w:tr>
        <w:trPr>
          <w:trHeight w:val="231"/>
        </w:trPr>
        <w:tc>
          <w:tcPr>
            <w:tcW w:w="780" w:type="dxa"/>
            <w:vAlign w:val="bottom"/>
          </w:tcPr>
          <w:p>
            <w:pPr>
              <w:spacing w:after="0"/>
              <w:rPr>
                <w:sz w:val="20"/>
                <w:szCs w:val="20"/>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Ranking; Structural</w:t>
            </w:r>
          </w:p>
        </w:tc>
        <w:tc>
          <w:tcPr>
            <w:tcW w:w="4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68"/>
        </w:trPr>
        <w:tc>
          <w:tcPr>
            <w:tcW w:w="780" w:type="dxa"/>
            <w:vAlign w:val="bottom"/>
          </w:tcPr>
          <w:p>
            <w:pPr>
              <w:spacing w:after="0"/>
              <w:rPr>
                <w:sz w:val="14"/>
                <w:szCs w:val="14"/>
                <w:color w:val="auto"/>
              </w:rPr>
            </w:pPr>
          </w:p>
        </w:tc>
        <w:tc>
          <w:tcPr>
            <w:tcW w:w="24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Subordination</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Notes will be our senior unsecured and unsubordinated</w:t>
            </w:r>
          </w:p>
        </w:tc>
        <w:tc>
          <w:tcPr>
            <w:tcW w:w="7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obligations and will rank equally in right of payment with all of</w:t>
            </w:r>
          </w:p>
        </w:tc>
        <w:tc>
          <w:tcPr>
            <w:tcW w:w="7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our existing and future senior indebtedness and senior in right of</w:t>
            </w:r>
          </w:p>
        </w:tc>
        <w:tc>
          <w:tcPr>
            <w:tcW w:w="7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 to all of our existing and future subordinated</w:t>
            </w:r>
          </w:p>
        </w:tc>
        <w:tc>
          <w:tcPr>
            <w:tcW w:w="7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indebtedness. The Notes will be effectively subordinated to any</w:t>
            </w:r>
          </w:p>
        </w:tc>
        <w:tc>
          <w:tcPr>
            <w:tcW w:w="7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of our secured indebtedness to the extent of the assets securing</w:t>
            </w:r>
          </w:p>
        </w:tc>
        <w:tc>
          <w:tcPr>
            <w:tcW w:w="760" w:type="dxa"/>
            <w:vAlign w:val="bottom"/>
          </w:tcPr>
          <w:p>
            <w:pPr>
              <w:spacing w:after="0"/>
              <w:rPr>
                <w:sz w:val="14"/>
                <w:szCs w:val="14"/>
                <w:color w:val="auto"/>
              </w:rPr>
            </w:pPr>
          </w:p>
        </w:tc>
      </w:tr>
      <w:tr>
        <w:trPr>
          <w:trHeight w:val="181"/>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such indebtedness.</w:t>
            </w:r>
          </w:p>
        </w:tc>
        <w:tc>
          <w:tcPr>
            <w:tcW w:w="760" w:type="dxa"/>
            <w:vAlign w:val="bottom"/>
          </w:tcPr>
          <w:p>
            <w:pPr>
              <w:spacing w:after="0"/>
              <w:rPr>
                <w:sz w:val="15"/>
                <w:szCs w:val="15"/>
                <w:color w:val="auto"/>
              </w:rPr>
            </w:pPr>
          </w:p>
        </w:tc>
      </w:tr>
      <w:tr>
        <w:trPr>
          <w:trHeight w:val="274"/>
        </w:trPr>
        <w:tc>
          <w:tcPr>
            <w:tcW w:w="78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Notes will be structurally subordinated to all indebtedness</w:t>
            </w:r>
          </w:p>
        </w:tc>
        <w:tc>
          <w:tcPr>
            <w:tcW w:w="760" w:type="dxa"/>
            <w:vAlign w:val="bottom"/>
          </w:tcPr>
          <w:p>
            <w:pPr>
              <w:spacing w:after="0"/>
              <w:rPr>
                <w:sz w:val="23"/>
                <w:szCs w:val="23"/>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and other liabilities (excluding the Subsidiary Guarantee) of our</w:t>
            </w:r>
          </w:p>
        </w:tc>
        <w:tc>
          <w:tcPr>
            <w:tcW w:w="760" w:type="dxa"/>
            <w:vAlign w:val="bottom"/>
          </w:tcPr>
          <w:p>
            <w:pPr>
              <w:spacing w:after="0"/>
              <w:rPr>
                <w:sz w:val="14"/>
                <w:szCs w:val="14"/>
                <w:color w:val="auto"/>
              </w:rPr>
            </w:pPr>
          </w:p>
        </w:tc>
      </w:tr>
      <w:tr>
        <w:trPr>
          <w:trHeight w:val="176"/>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subsidiaries and the claims of any of their preferred stockholders,</w:t>
            </w:r>
          </w:p>
        </w:tc>
        <w:tc>
          <w:tcPr>
            <w:tcW w:w="7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policyholders and other creditors.</w:t>
            </w:r>
          </w:p>
        </w:tc>
        <w:tc>
          <w:tcPr>
            <w:tcW w:w="760" w:type="dxa"/>
            <w:vAlign w:val="bottom"/>
          </w:tcPr>
          <w:p>
            <w:pPr>
              <w:spacing w:after="0"/>
              <w:rPr>
                <w:sz w:val="15"/>
                <w:szCs w:val="15"/>
                <w:color w:val="auto"/>
              </w:rPr>
            </w:pPr>
          </w:p>
        </w:tc>
      </w:tr>
      <w:tr>
        <w:trPr>
          <w:trHeight w:val="243"/>
        </w:trPr>
        <w:tc>
          <w:tcPr>
            <w:tcW w:w="780" w:type="dxa"/>
            <w:vAlign w:val="bottom"/>
          </w:tcPr>
          <w:p>
            <w:pPr>
              <w:spacing w:after="0"/>
              <w:rPr>
                <w:sz w:val="21"/>
                <w:szCs w:val="21"/>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Subsidiary Guarantee</w:t>
            </w: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Notes will be fully, unconditionally and irrevocably</w:t>
            </w:r>
          </w:p>
        </w:tc>
        <w:tc>
          <w:tcPr>
            <w:tcW w:w="760" w:type="dxa"/>
            <w:vAlign w:val="bottom"/>
          </w:tcPr>
          <w:p>
            <w:pPr>
              <w:spacing w:after="0"/>
              <w:rPr>
                <w:sz w:val="21"/>
                <w:szCs w:val="21"/>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guaranteed on a senior unsecured basis by our subsidiary,</w:t>
            </w:r>
          </w:p>
        </w:tc>
        <w:tc>
          <w:tcPr>
            <w:tcW w:w="7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Principal Financial Services. See the section entitled</w:t>
            </w:r>
          </w:p>
        </w:tc>
        <w:tc>
          <w:tcPr>
            <w:tcW w:w="7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“Description of the Notes — Subsidiary Guarantee” in this</w:t>
            </w:r>
          </w:p>
        </w:tc>
        <w:tc>
          <w:tcPr>
            <w:tcW w:w="760" w:type="dxa"/>
            <w:vAlign w:val="bottom"/>
          </w:tcPr>
          <w:p>
            <w:pPr>
              <w:spacing w:after="0"/>
              <w:rPr>
                <w:sz w:val="14"/>
                <w:szCs w:val="14"/>
                <w:color w:val="auto"/>
              </w:rPr>
            </w:pPr>
          </w:p>
        </w:tc>
      </w:tr>
      <w:tr>
        <w:trPr>
          <w:trHeight w:val="181"/>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prospectus supplement.</w:t>
            </w:r>
          </w:p>
        </w:tc>
        <w:tc>
          <w:tcPr>
            <w:tcW w:w="760" w:type="dxa"/>
            <w:vAlign w:val="bottom"/>
          </w:tcPr>
          <w:p>
            <w:pPr>
              <w:spacing w:after="0"/>
              <w:rPr>
                <w:sz w:val="15"/>
                <w:szCs w:val="15"/>
                <w:color w:val="auto"/>
              </w:rPr>
            </w:pPr>
          </w:p>
        </w:tc>
      </w:tr>
      <w:tr>
        <w:trPr>
          <w:trHeight w:val="264"/>
        </w:trPr>
        <w:tc>
          <w:tcPr>
            <w:tcW w:w="7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Subsidiary Guarantee will be a senior unsecured and</w:t>
            </w:r>
          </w:p>
        </w:tc>
        <w:tc>
          <w:tcPr>
            <w:tcW w:w="760" w:type="dxa"/>
            <w:vAlign w:val="bottom"/>
          </w:tcPr>
          <w:p>
            <w:pPr>
              <w:spacing w:after="0"/>
              <w:rPr>
                <w:sz w:val="22"/>
                <w:szCs w:val="22"/>
                <w:color w:val="auto"/>
              </w:rPr>
            </w:pPr>
          </w:p>
        </w:tc>
      </w:tr>
      <w:tr>
        <w:trPr>
          <w:trHeight w:val="176"/>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unsubordinated obligation of Principal Financial Services and</w:t>
            </w:r>
          </w:p>
        </w:tc>
        <w:tc>
          <w:tcPr>
            <w:tcW w:w="760" w:type="dxa"/>
            <w:vAlign w:val="bottom"/>
          </w:tcPr>
          <w:p>
            <w:pPr>
              <w:spacing w:after="0"/>
              <w:rPr>
                <w:sz w:val="15"/>
                <w:szCs w:val="15"/>
                <w:color w:val="auto"/>
              </w:rPr>
            </w:pPr>
          </w:p>
        </w:tc>
      </w:tr>
      <w:tr>
        <w:trPr>
          <w:trHeight w:val="166"/>
        </w:trPr>
        <w:tc>
          <w:tcPr>
            <w:tcW w:w="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will rank equally in right of payment with all of its existing and</w:t>
            </w:r>
          </w:p>
        </w:tc>
        <w:tc>
          <w:tcPr>
            <w:tcW w:w="760" w:type="dxa"/>
            <w:vAlign w:val="bottom"/>
          </w:tcPr>
          <w:p>
            <w:pPr>
              <w:spacing w:after="0"/>
              <w:rPr>
                <w:sz w:val="14"/>
                <w:szCs w:val="14"/>
                <w:color w:val="auto"/>
              </w:rPr>
            </w:pPr>
          </w:p>
        </w:tc>
      </w:tr>
      <w:tr>
        <w:trPr>
          <w:trHeight w:val="176"/>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future senior indebtedness and senior in right of payment to all of</w:t>
            </w:r>
          </w:p>
        </w:tc>
        <w:tc>
          <w:tcPr>
            <w:tcW w:w="760" w:type="dxa"/>
            <w:vAlign w:val="bottom"/>
          </w:tcPr>
          <w:p>
            <w:pPr>
              <w:spacing w:after="0"/>
              <w:rPr>
                <w:sz w:val="15"/>
                <w:szCs w:val="15"/>
                <w:color w:val="auto"/>
              </w:rPr>
            </w:pPr>
          </w:p>
        </w:tc>
      </w:tr>
      <w:tr>
        <w:trPr>
          <w:trHeight w:val="176"/>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its existing and future subordinated indebtedness. The Subsidiary</w:t>
            </w:r>
          </w:p>
        </w:tc>
        <w:tc>
          <w:tcPr>
            <w:tcW w:w="7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Guarantee will be effectively subordinated to any secured</w:t>
            </w:r>
          </w:p>
        </w:tc>
        <w:tc>
          <w:tcPr>
            <w:tcW w:w="760" w:type="dxa"/>
            <w:vAlign w:val="bottom"/>
          </w:tcPr>
          <w:p>
            <w:pPr>
              <w:spacing w:after="0"/>
              <w:rPr>
                <w:sz w:val="15"/>
                <w:szCs w:val="15"/>
                <w:color w:val="auto"/>
              </w:rPr>
            </w:pPr>
          </w:p>
        </w:tc>
      </w:tr>
      <w:tr>
        <w:trPr>
          <w:trHeight w:val="233"/>
        </w:trPr>
        <w:tc>
          <w:tcPr>
            <w:tcW w:w="78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234"/>
        </w:trPr>
        <w:tc>
          <w:tcPr>
            <w:tcW w:w="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2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S-2</w:t>
            </w:r>
          </w:p>
        </w:tc>
        <w:tc>
          <w:tcPr>
            <w:tcW w:w="760" w:type="dxa"/>
            <w:vAlign w:val="bottom"/>
          </w:tcPr>
          <w:p>
            <w:pPr>
              <w:spacing w:after="0"/>
              <w:rPr>
                <w:sz w:val="20"/>
                <w:szCs w:val="20"/>
                <w:color w:val="auto"/>
              </w:rPr>
            </w:pPr>
          </w:p>
        </w:tc>
      </w:tr>
      <w:tr>
        <w:trPr>
          <w:trHeight w:val="300"/>
        </w:trPr>
        <w:tc>
          <w:tcPr>
            <w:tcW w:w="7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-25400</wp:posOffset>
            </wp:positionV>
            <wp:extent cx="3175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-25400</wp:posOffset>
            </wp:positionV>
            <wp:extent cx="3175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40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250190</wp:posOffset>
            </wp:positionV>
            <wp:extent cx="4232275" cy="6105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4232275" cy="610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indebtedness of the Subsidiary Guarantor to the extent of the</w:t>
      </w:r>
    </w:p>
    <w:p>
      <w:pPr>
        <w:spacing w:after="0" w:line="2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assets securing such indebtedness.</w:t>
      </w:r>
    </w:p>
    <w:p>
      <w:pPr>
        <w:spacing w:after="0" w:line="1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The Subsidiary Guarantee will be structurally subordinated to all</w:t>
      </w:r>
    </w:p>
    <w:p>
      <w:pPr>
        <w:spacing w:after="0" w:line="2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indebtedness and other liabilities of the subsidiaries of Principal</w:t>
      </w:r>
    </w:p>
    <w:p>
      <w:pPr>
        <w:spacing w:after="0" w:line="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Financial Services and the claims of any of their preferred</w:t>
      </w:r>
    </w:p>
    <w:p>
      <w:pPr>
        <w:spacing w:after="0" w:line="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stockholders, policyholders and other creditors.</w:t>
      </w:r>
    </w:p>
    <w:p>
      <w:pPr>
        <w:sectPr>
          <w:pgSz w:w="11900" w:h="16838" w:orient="portrait"/>
          <w:cols w:equalWidth="0" w:num="1">
            <w:col w:w="9019"/>
          </w:cols>
          <w:pgMar w:left="1440" w:top="104" w:right="1440" w:bottom="1440" w:gutter="0" w:footer="0" w:header="0"/>
        </w:sectPr>
      </w:pPr>
    </w:p>
    <w:p>
      <w:pPr>
        <w:spacing w:after="0" w:line="7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1459"/>
        <w:spacing w:after="0" w:line="251" w:lineRule="auto"/>
        <w:rPr>
          <w:sz w:val="20"/>
          <w:szCs w:val="20"/>
          <w:color w:val="auto"/>
        </w:rPr>
      </w:pPr>
      <w:r>
        <w:rPr>
          <w:rFonts w:ascii="Times New Roman" w:cs="Times New Roman" w:eastAsia="Times New Roman" w:hAnsi="Times New Roman"/>
          <w:sz w:val="14"/>
          <w:szCs w:val="14"/>
          <w:color w:val="auto"/>
        </w:rPr>
        <w:t>We estimate that the net proceeds from this offering will be approximately $394.9 million, after deducting the underwriting discount and estimated offering expenses payable by us. We intend to use the net proceeds from this offering for general corporate purposes, which may include the repayment, redemption or refinancing of existing indebtedness. See “Use of Proceeds” in this prospectus supplement.</w:t>
      </w:r>
    </w:p>
    <w:p>
      <w:pPr>
        <w:spacing w:after="0" w:line="62" w:lineRule="exact"/>
        <w:rPr>
          <w:sz w:val="20"/>
          <w:szCs w:val="20"/>
          <w:color w:val="auto"/>
        </w:rPr>
      </w:pPr>
    </w:p>
    <w:p>
      <w:pPr>
        <w:sectPr>
          <w:pgSz w:w="11900" w:h="16838" w:orient="portrait"/>
          <w:cols w:equalWidth="0" w:num="2">
            <w:col w:w="3140" w:space="720"/>
            <w:col w:w="5159"/>
          </w:cols>
          <w:pgMar w:left="1440" w:top="104"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3"/>
          <w:szCs w:val="13"/>
          <w:b w:val="1"/>
          <w:bCs w:val="1"/>
          <w:color w:val="auto"/>
        </w:rPr>
        <w:t>Denominations</w:t>
      </w:r>
    </w:p>
    <w:p>
      <w:pPr>
        <w:spacing w:after="0" w:line="20" w:lineRule="exact"/>
        <w:rPr>
          <w:sz w:val="20"/>
          <w:szCs w:val="20"/>
          <w:color w:val="auto"/>
        </w:rPr>
      </w:pPr>
      <w:r>
        <w:rPr>
          <w:sz w:val="20"/>
          <w:szCs w:val="20"/>
          <w:color w:val="auto"/>
        </w:rPr>
        <w:br w:type="column"/>
      </w:r>
    </w:p>
    <w:p>
      <w:pPr>
        <w:ind w:right="1599"/>
        <w:spacing w:after="0" w:line="276" w:lineRule="auto"/>
        <w:rPr>
          <w:sz w:val="20"/>
          <w:szCs w:val="20"/>
          <w:color w:val="auto"/>
        </w:rPr>
      </w:pPr>
      <w:r>
        <w:rPr>
          <w:rFonts w:ascii="Times New Roman" w:cs="Times New Roman" w:eastAsia="Times New Roman" w:hAnsi="Times New Roman"/>
          <w:sz w:val="14"/>
          <w:szCs w:val="14"/>
          <w:color w:val="auto"/>
        </w:rPr>
        <w:t>The Notes are to be issued in denominations of $2,000 or any multiple of $1,000 in excess thereof.</w:t>
      </w:r>
    </w:p>
    <w:p>
      <w:pPr>
        <w:spacing w:after="0" w:line="42" w:lineRule="exact"/>
        <w:rPr>
          <w:sz w:val="20"/>
          <w:szCs w:val="20"/>
          <w:color w:val="auto"/>
        </w:rPr>
      </w:pPr>
    </w:p>
    <w:p>
      <w:pPr>
        <w:sectPr>
          <w:pgSz w:w="11900" w:h="16838" w:orient="portrait"/>
          <w:cols w:equalWidth="0" w:num="2">
            <w:col w:w="3140" w:space="720"/>
            <w:col w:w="5159"/>
          </w:cols>
          <w:pgMar w:left="1440" w:top="104"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20" w:lineRule="exact"/>
        <w:rPr>
          <w:sz w:val="20"/>
          <w:szCs w:val="20"/>
          <w:color w:val="auto"/>
        </w:rPr>
      </w:pPr>
      <w:r>
        <w:rPr>
          <w:sz w:val="20"/>
          <w:szCs w:val="20"/>
          <w:color w:val="auto"/>
        </w:rPr>
        <w:br w:type="column"/>
      </w:r>
    </w:p>
    <w:p>
      <w:pPr>
        <w:ind w:right="1399"/>
        <w:spacing w:after="0" w:line="249" w:lineRule="auto"/>
        <w:rPr>
          <w:sz w:val="20"/>
          <w:szCs w:val="20"/>
          <w:color w:val="auto"/>
        </w:rPr>
      </w:pPr>
      <w:r>
        <w:rPr>
          <w:rFonts w:ascii="Times New Roman" w:cs="Times New Roman" w:eastAsia="Times New Roman" w:hAnsi="Times New Roman"/>
          <w:sz w:val="14"/>
          <w:szCs w:val="14"/>
          <w:color w:val="auto"/>
        </w:rPr>
        <w:t>The Senior Indenture (as defined in the section entitled “Description of the Notes” in this prospectus supplement) contains a limitation on liens covenant and a limitation on consolidation, merger and sale of assets covenant, each of which contains important exceptions. See the sections entitled “Description of Debt Securities — Limitations upon Liens” and “— Consolidation, Merger and Sale of Assets” in the accompanying prospectus. The Senior Indenture also contains covenants that apply to the Subsidiary Guarantor. See the section entitled “Description of the Notes — Subsidiary Guarantee” in this prospectus supplement.</w:t>
      </w:r>
    </w:p>
    <w:p>
      <w:pPr>
        <w:spacing w:after="0" w:line="200" w:lineRule="exact"/>
        <w:rPr>
          <w:sz w:val="20"/>
          <w:szCs w:val="20"/>
          <w:color w:val="auto"/>
        </w:rPr>
      </w:pPr>
    </w:p>
    <w:p>
      <w:pPr>
        <w:sectPr>
          <w:pgSz w:w="11900" w:h="16838" w:orient="portrait"/>
          <w:cols w:equalWidth="0" w:num="2">
            <w:col w:w="3140" w:space="720"/>
            <w:col w:w="5159"/>
          </w:cols>
          <w:pgMar w:left="1440" w:top="104" w:right="1440" w:bottom="1440" w:gutter="0" w:footer="0" w:header="0"/>
          <w:type w:val="continuous"/>
        </w:sectPr>
      </w:pPr>
    </w:p>
    <w:p>
      <w:pPr>
        <w:spacing w:after="0" w:line="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1"/>
          <w:szCs w:val="11"/>
          <w:b w:val="1"/>
          <w:bCs w:val="1"/>
          <w:color w:val="auto"/>
        </w:rPr>
        <w:t>Risk Factors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359"/>
        <w:spacing w:after="0" w:line="254" w:lineRule="auto"/>
        <w:rPr>
          <w:sz w:val="20"/>
          <w:szCs w:val="20"/>
          <w:color w:val="auto"/>
        </w:rPr>
      </w:pPr>
      <w:r>
        <w:rPr>
          <w:rFonts w:ascii="Times New Roman" w:cs="Times New Roman" w:eastAsia="Times New Roman" w:hAnsi="Times New Roman"/>
          <w:sz w:val="14"/>
          <w:szCs w:val="14"/>
          <w:color w:val="auto"/>
        </w:rPr>
        <w:t>See the section entitled “Risk Factors” in this prospectus supplement and the other information included in or incorporated by reference in this prospectus supplement and the accompanying prospectus for a discussion of factors you should carefully consider before deciding to invest in the Notes.</w:t>
      </w:r>
    </w:p>
    <w:p>
      <w:pPr>
        <w:spacing w:after="0" w:line="200" w:lineRule="exact"/>
        <w:rPr>
          <w:sz w:val="20"/>
          <w:szCs w:val="20"/>
          <w:color w:val="auto"/>
        </w:rPr>
      </w:pPr>
    </w:p>
    <w:p>
      <w:pPr>
        <w:sectPr>
          <w:pgSz w:w="11900" w:h="16838" w:orient="portrait"/>
          <w:cols w:equalWidth="0" w:num="2">
            <w:col w:w="3140" w:space="720"/>
            <w:col w:w="5159"/>
          </w:cols>
          <w:pgMar w:left="1440" w:top="1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8" w:name="page9"/>
    <w:bookmarkEnd w:id="8"/>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18" w:lineRule="exact"/>
        <w:rPr>
          <w:sz w:val="20"/>
          <w:szCs w:val="20"/>
          <w:color w:val="auto"/>
        </w:rPr>
      </w:pPr>
    </w:p>
    <w:p>
      <w:pPr>
        <w:ind w:left="1360" w:right="1459" w:firstLine="276"/>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An investment in the Notes involves certain risks. In considering whether to purchase the Notes, you should carefully consider the risks described below and all of the information contained in or incorporated by reference in this prospectus supplement and the accompanying prospectus, including, but not limited to, the risks and uncertainties discussed in “Part I, Item 1A — Risk Factors” of the </w:t>
      </w:r>
      <w:hyperlink r:id="rId29">
        <w:r>
          <w:rPr>
            <w:rFonts w:ascii="Times New Roman" w:cs="Times New Roman" w:eastAsia="Times New Roman" w:hAnsi="Times New Roman"/>
            <w:sz w:val="14"/>
            <w:szCs w:val="14"/>
            <w:i w:val="1"/>
            <w:iCs w:val="1"/>
            <w:u w:val="single" w:color="auto"/>
            <w:color w:val="0000EE"/>
          </w:rPr>
          <w:t>2025 Form 10-K</w:t>
        </w:r>
      </w:hyperlink>
      <w:r>
        <w:rPr>
          <w:rFonts w:ascii="Times New Roman" w:cs="Times New Roman" w:eastAsia="Times New Roman" w:hAnsi="Times New Roman"/>
          <w:sz w:val="14"/>
          <w:szCs w:val="14"/>
          <w:i w:val="1"/>
          <w:iCs w:val="1"/>
          <w:color w:val="auto"/>
        </w:rPr>
        <w:t xml:space="preserve">, “Part II, Item 1A — Risk Factors” of the Q1 </w:t>
      </w:r>
      <w:hyperlink r:id="rId30">
        <w:r>
          <w:rPr>
            <w:rFonts w:ascii="Times New Roman" w:cs="Times New Roman" w:eastAsia="Times New Roman" w:hAnsi="Times New Roman"/>
            <w:sz w:val="14"/>
            <w:szCs w:val="14"/>
            <w:i w:val="1"/>
            <w:iCs w:val="1"/>
            <w:u w:val="single" w:color="auto"/>
            <w:color w:val="0000EE"/>
          </w:rPr>
          <w:t>2026 Form 10-Q</w:t>
        </w:r>
        <w:r>
          <w:rPr>
            <w:rFonts w:ascii="Times New Roman" w:cs="Times New Roman" w:eastAsia="Times New Roman" w:hAnsi="Times New Roman"/>
            <w:sz w:val="14"/>
            <w:szCs w:val="14"/>
            <w:i w:val="1"/>
            <w:iCs w:val="1"/>
            <w:u w:val="single" w:color="auto"/>
            <w:color w:val="auto"/>
          </w:rPr>
          <w:t xml:space="preserve"> </w:t>
        </w:r>
      </w:hyperlink>
      <w:r>
        <w:rPr>
          <w:rFonts w:ascii="Times New Roman" w:cs="Times New Roman" w:eastAsia="Times New Roman" w:hAnsi="Times New Roman"/>
          <w:sz w:val="14"/>
          <w:szCs w:val="14"/>
          <w:i w:val="1"/>
          <w:iCs w:val="1"/>
          <w:color w:val="auto"/>
        </w:rPr>
        <w:t>and other information that may be incorporated by reference in this prospectus supplement and the accompanying prospectus on or after the date hereof. Our business, financial condition, results of operations and prospects could be materially adversely affected by any of these risks.</w:t>
      </w:r>
    </w:p>
    <w:p>
      <w:pPr>
        <w:spacing w:after="0" w:line="1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Senior Indenture does not limit the amount of indebtedness that we or our subsidiaries can issue.</w:t>
      </w:r>
    </w:p>
    <w:p>
      <w:pPr>
        <w:spacing w:after="0" w:line="110" w:lineRule="exact"/>
        <w:rPr>
          <w:sz w:val="20"/>
          <w:szCs w:val="20"/>
          <w:color w:val="auto"/>
        </w:rPr>
      </w:pPr>
    </w:p>
    <w:p>
      <w:pPr>
        <w:ind w:left="1360" w:right="1439" w:firstLine="276"/>
        <w:spacing w:after="0" w:line="243" w:lineRule="auto"/>
        <w:rPr>
          <w:sz w:val="20"/>
          <w:szCs w:val="20"/>
          <w:color w:val="auto"/>
        </w:rPr>
      </w:pPr>
      <w:r>
        <w:rPr>
          <w:rFonts w:ascii="Times New Roman" w:cs="Times New Roman" w:eastAsia="Times New Roman" w:hAnsi="Times New Roman"/>
          <w:sz w:val="14"/>
          <w:szCs w:val="14"/>
          <w:color w:val="auto"/>
        </w:rPr>
        <w:t>The Senior Indenture does not limit the amount of unsecured indebtedness (including under the Senior Indenture) or secured indebtedness that we or our subsidiaries can issue, except, with respect to secured indebtedness, to the extent set forth in the section entitled “Description of Debt Securities — Limitations upon Liens” in the accompanying prospectus. The Notes will be our senior unsecured and unsubordinated obligations and will rank equally in right of payment with all of our existing and future senior indebtedness and senior in right of payment to all of our existing and future subordinated indebtedness.</w:t>
      </w:r>
    </w:p>
    <w:p>
      <w:pPr>
        <w:spacing w:after="0" w:line="88" w:lineRule="exact"/>
        <w:rPr>
          <w:sz w:val="20"/>
          <w:szCs w:val="20"/>
          <w:color w:val="auto"/>
        </w:rPr>
      </w:pPr>
    </w:p>
    <w:p>
      <w:pPr>
        <w:ind w:left="1360" w:right="1419" w:firstLine="276"/>
        <w:spacing w:after="0" w:line="242" w:lineRule="auto"/>
        <w:rPr>
          <w:sz w:val="20"/>
          <w:szCs w:val="20"/>
          <w:color w:val="auto"/>
        </w:rPr>
      </w:pPr>
      <w:r>
        <w:rPr>
          <w:rFonts w:ascii="Times New Roman" w:cs="Times New Roman" w:eastAsia="Times New Roman" w:hAnsi="Times New Roman"/>
          <w:sz w:val="14"/>
          <w:szCs w:val="14"/>
          <w:color w:val="auto"/>
        </w:rPr>
        <w:t>As of March 31, 2026, Principal Financial Group, Inc. had $3,925.1 million of senior indebtedness that would have ranked equally in right of payment with the Notes and no subordinated indebtedness that would have ranked junior in right of payment to the Notes. In addition, the Notes will be effectively subordinated to any of our secured indebtedness to the extent of the assets securing such indebtedness. As of March 31, 2026, Principal Financial Group, Inc. had no secured indebtedness outstanding.</w:t>
      </w:r>
    </w:p>
    <w:p>
      <w:pPr>
        <w:spacing w:after="0" w:line="89" w:lineRule="exact"/>
        <w:rPr>
          <w:sz w:val="20"/>
          <w:szCs w:val="20"/>
          <w:color w:val="auto"/>
        </w:rPr>
      </w:pPr>
    </w:p>
    <w:p>
      <w:pPr>
        <w:ind w:left="1360" w:right="1379" w:firstLine="276"/>
        <w:spacing w:after="0" w:line="239" w:lineRule="auto"/>
        <w:rPr>
          <w:sz w:val="20"/>
          <w:szCs w:val="20"/>
          <w:color w:val="auto"/>
        </w:rPr>
      </w:pPr>
      <w:r>
        <w:rPr>
          <w:rFonts w:ascii="Times New Roman" w:cs="Times New Roman" w:eastAsia="Times New Roman" w:hAnsi="Times New Roman"/>
          <w:sz w:val="14"/>
          <w:szCs w:val="14"/>
          <w:color w:val="auto"/>
        </w:rPr>
        <w:t>The Subsidiary Guarantee will be a senior unsecured and unsubordinated obligation of Principal Financial Services and will rank equally in right of payment with all of its existing and future senior indebtedness and senior in right of payment to all of its existing and future subordinated indebtedness. As of March 31, 2026, Principal Financial Services had no senior indebtedness that would have ranked equally in right of payment with the Subsidiary Guarantee (other than other subsidiary guarantees of our senior indebtedness) and no subordinated indebtedness that would have ranked junior in right of payment to the Subsidiary Guarantee (other than its subsidiary guarantee of our subordinated indebtedness). In addition, the Subsidiary Guarantee will be effectively subordinated to any secured indebtedness of Principal Financial Services to the extent of the assets securing such indebtedness. As of March 31, 2026, Principal Financial Services had no secured indebtedness outstanding.</w:t>
      </w:r>
    </w:p>
    <w:p>
      <w:pPr>
        <w:spacing w:after="0" w:line="94" w:lineRule="exact"/>
        <w:rPr>
          <w:sz w:val="20"/>
          <w:szCs w:val="20"/>
          <w:color w:val="auto"/>
        </w:rPr>
      </w:pPr>
    </w:p>
    <w:p>
      <w:pPr>
        <w:ind w:left="1360" w:right="1379" w:firstLine="276"/>
        <w:spacing w:after="0" w:line="254" w:lineRule="auto"/>
        <w:rPr>
          <w:sz w:val="20"/>
          <w:szCs w:val="20"/>
          <w:color w:val="auto"/>
        </w:rPr>
      </w:pPr>
      <w:r>
        <w:rPr>
          <w:rFonts w:ascii="Times New Roman" w:cs="Times New Roman" w:eastAsia="Times New Roman" w:hAnsi="Times New Roman"/>
          <w:sz w:val="14"/>
          <w:szCs w:val="14"/>
          <w:color w:val="auto"/>
        </w:rPr>
        <w:t>Any additional indebtedness incurred could reduce the amount of cash we or the Subsidiary Guarantor would have available to satisfy our respective obligations under the Notes and the Subsidiary Guarantee. We and the Subsidiary Guarantor expect from time to time to incur additional indebtedness.</w:t>
      </w:r>
    </w:p>
    <w:p>
      <w:pPr>
        <w:spacing w:after="0" w:line="79" w:lineRule="exact"/>
        <w:rPr>
          <w:sz w:val="20"/>
          <w:szCs w:val="20"/>
          <w:color w:val="auto"/>
        </w:rPr>
      </w:pPr>
    </w:p>
    <w:p>
      <w:pPr>
        <w:ind w:left="1360" w:right="1399" w:firstLine="276"/>
        <w:spacing w:after="0" w:line="251" w:lineRule="auto"/>
        <w:rPr>
          <w:sz w:val="20"/>
          <w:szCs w:val="20"/>
          <w:color w:val="auto"/>
        </w:rPr>
      </w:pPr>
      <w:r>
        <w:rPr>
          <w:rFonts w:ascii="Times New Roman" w:cs="Times New Roman" w:eastAsia="Times New Roman" w:hAnsi="Times New Roman"/>
          <w:sz w:val="14"/>
          <w:szCs w:val="14"/>
          <w:color w:val="auto"/>
        </w:rPr>
        <w:t>The terms of the Notes will not afford you protection in the event of a highly leveraged transaction that may adversely affect you, including a reorganization, recapitalization, restructuring, merger or other similar transaction involving us. We could enter into any such transaction even though the transaction could increase the total amount of our outstanding debt, adversely affect our capital structure or credit rating or otherwise adversely affect the holders of the Notes. The Senior Indenture does not contain provisions that permit the holders of the Notes to require us to repurchase the Notes in the event of a takeover, recapitalization or similar transaction.</w:t>
      </w:r>
    </w:p>
    <w:p>
      <w:pPr>
        <w:spacing w:after="0" w:line="144" w:lineRule="exact"/>
        <w:rPr>
          <w:sz w:val="20"/>
          <w:szCs w:val="20"/>
          <w:color w:val="auto"/>
        </w:rPr>
      </w:pPr>
    </w:p>
    <w:p>
      <w:pPr>
        <w:ind w:left="1360" w:right="141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are a holding company with no direct operations and the Subsidiary Guarantor is an intermediary holding company with no direct operations; as a consequence, our ability to satisfy our obligations under the Notes and the Subsidiary Guarantor’s ability to satisfy its obligations under the Subsidiary Guarantee will depend in large part on the ability of our and the Subsidiary Guarantor’s subsidiaries to pay dividends, and the dividend paying ability of our insurance company subsidiaries is restricted by law.</w:t>
      </w:r>
    </w:p>
    <w:p>
      <w:pPr>
        <w:spacing w:after="0" w:line="78" w:lineRule="exact"/>
        <w:rPr>
          <w:sz w:val="20"/>
          <w:szCs w:val="20"/>
          <w:color w:val="auto"/>
        </w:rPr>
      </w:pPr>
    </w:p>
    <w:p>
      <w:pPr>
        <w:ind w:left="1360" w:right="1499" w:firstLine="276"/>
        <w:spacing w:after="0" w:line="256" w:lineRule="auto"/>
        <w:rPr>
          <w:sz w:val="20"/>
          <w:szCs w:val="20"/>
          <w:color w:val="auto"/>
        </w:rPr>
      </w:pPr>
      <w:r>
        <w:rPr>
          <w:rFonts w:ascii="Times New Roman" w:cs="Times New Roman" w:eastAsia="Times New Roman" w:hAnsi="Times New Roman"/>
          <w:sz w:val="14"/>
          <w:szCs w:val="14"/>
          <w:color w:val="auto"/>
        </w:rPr>
        <w:t>We are an insurance holding company whose assets include all of the outstanding shares of common stock of the Subsidiary Guarantor. The Subsidiary Guarantor is an intermediary holding company whose assets include all of the outstanding shares of Principal Life and other subsidiaries. Our and the Subsidiary Guarantor’s ability to meet our respective obligations depends upon the ability of Principal Life and</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19"/>
        <w:spacing w:after="0" w:line="238" w:lineRule="auto"/>
        <w:rPr>
          <w:sz w:val="20"/>
          <w:szCs w:val="20"/>
          <w:color w:val="auto"/>
        </w:rPr>
      </w:pPr>
      <w:r>
        <w:rPr>
          <w:rFonts w:ascii="Times New Roman" w:cs="Times New Roman" w:eastAsia="Times New Roman" w:hAnsi="Times New Roman"/>
          <w:sz w:val="14"/>
          <w:szCs w:val="14"/>
          <w:color w:val="auto"/>
        </w:rPr>
        <w:t>other subsidiaries to declare and distribute dividends or to advance money in the form of intercompany loans. Our insurance company subsidiaries are subject to various statutory and regulatory restrictions, applicable to insurance companies generally, that limit the amount of cash dividends, loans and advances that those subsidiaries may pay. Regulations relating to capital requirements affecting some of our other subsidiaries also restrict their ability to pay dividends and other distributions and make loans to us. The payment of dividends from Principal Life to the Subsidiary Guarantor is subject to restrictions set forth in the insurance laws of the State of Iowa. See the sections entitled “Business — Regulation — U.S. Insurance Laws and Regulations” and “Management’s Discussion and Analysis of Financial Condition and Results of Operations — Liquidity and Capital Resources — The Holding Companies: PFG and PFS” in the 2025 Form 10-K, incorporated by reference herein and in the accompanying prospectus. As a result, our cash flows and ability to service our obligations, including the Notes, are dependent upon the earnings of our subsidiaries, distributions of those earnings to us and other payments or distributions of funds by our subsidiaries to us. It is possible that in the future Principal Life may be unable to pay dividends in an amount sufficient to permit us or the Subsidiary Guarantor to meet our respective obligations due to a lack of statutory net gain from operations, a diminishing statutory policyholders surplus, changes to the Iowa insurance laws or regulations, or for some other reason. If the Subsidiary Guarantor or Principal Life or any of their respective subsidiaries were unable to pay sufficient dividends to us in the future, we would be unable to meet our obligation to make scheduled payments under the Notes, which would negatively affect our business and financial condition as well as the trading price of the Notes.</w:t>
      </w:r>
    </w:p>
    <w:p>
      <w:pPr>
        <w:spacing w:after="0" w:line="153" w:lineRule="exact"/>
        <w:rPr>
          <w:sz w:val="20"/>
          <w:szCs w:val="20"/>
          <w:color w:val="auto"/>
        </w:rPr>
      </w:pPr>
    </w:p>
    <w:p>
      <w:pPr>
        <w:ind w:left="1360" w:right="1519"/>
        <w:spacing w:after="0" w:line="243" w:lineRule="auto"/>
        <w:rPr>
          <w:sz w:val="20"/>
          <w:szCs w:val="20"/>
          <w:color w:val="auto"/>
        </w:rPr>
      </w:pPr>
      <w:r>
        <w:rPr>
          <w:rFonts w:ascii="Times New Roman" w:cs="Times New Roman" w:eastAsia="Times New Roman" w:hAnsi="Times New Roman"/>
          <w:sz w:val="14"/>
          <w:szCs w:val="14"/>
          <w:b w:val="1"/>
          <w:bCs w:val="1"/>
          <w:i w:val="1"/>
          <w:iCs w:val="1"/>
          <w:color w:val="auto"/>
        </w:rPr>
        <w:t>The Notes will be structurally subordinated to all existing and future indebtedness and other obligations of our subsidiaries, which could impair our ability to make payments on the Notes, and the Subsidiary Guarantee will be structurally subordinated to all existing and future indebtedness and other obligations of the Subsidiary Guarantor’s subsidiaries, which could impair the Subsidiary Guarantor’s ability to make payments on the Subsidiary Guarantee.</w:t>
      </w:r>
    </w:p>
    <w:p>
      <w:pPr>
        <w:spacing w:after="0" w:line="88" w:lineRule="exact"/>
        <w:rPr>
          <w:sz w:val="20"/>
          <w:szCs w:val="20"/>
          <w:color w:val="auto"/>
        </w:rPr>
      </w:pPr>
    </w:p>
    <w:p>
      <w:pPr>
        <w:ind w:left="1360" w:right="1379" w:firstLine="276"/>
        <w:spacing w:after="0" w:line="239" w:lineRule="auto"/>
        <w:rPr>
          <w:sz w:val="20"/>
          <w:szCs w:val="20"/>
          <w:color w:val="auto"/>
        </w:rPr>
      </w:pPr>
      <w:r>
        <w:rPr>
          <w:rFonts w:ascii="Times New Roman" w:cs="Times New Roman" w:eastAsia="Times New Roman" w:hAnsi="Times New Roman"/>
          <w:sz w:val="14"/>
          <w:szCs w:val="14"/>
          <w:color w:val="auto"/>
        </w:rPr>
        <w:t>Except to the extent we have a prior or equal claim against our subsidiaries as a creditor or in connection with the obligation of the Subsidiary Guarantor under the Subsidiary Guarantee, the Notes will be structurally subordinated to all of our subsidiaries’ existing and future indebtedness and other liabilities because, as the common stockholder of our subsidiaries, we will be subject to the prior claims of our subsidiaries’ creditors, including trade accounts payable and other liabilities arising in the ordinary course of business, the claims of policyholders with respect to our insurance subsidiaries and the claims of our subsidiaries’ preferred stockholders. Creditors of our subsidiaries generally will be paid from the assets of those subsidiaries before holders of the Notes have any claims to those assets by virtue of our equity interest in those subsidiaries. Consequently, the Notes will be structurally subordinated to all indebtedness and other liabilities (excluding the Subsidiary Guarantee) of our subsidiaries and the claims of any of their preferred stockholders, policyholders and other creditors.</w:t>
      </w:r>
    </w:p>
    <w:p>
      <w:pPr>
        <w:spacing w:after="0" w:line="89" w:lineRule="exact"/>
        <w:rPr>
          <w:sz w:val="20"/>
          <w:szCs w:val="20"/>
          <w:color w:val="auto"/>
        </w:rPr>
      </w:pPr>
    </w:p>
    <w:p>
      <w:pPr>
        <w:ind w:left="1360" w:right="1439" w:firstLine="276"/>
        <w:spacing w:after="0" w:line="239" w:lineRule="auto"/>
        <w:rPr>
          <w:sz w:val="20"/>
          <w:szCs w:val="20"/>
          <w:color w:val="auto"/>
        </w:rPr>
      </w:pPr>
      <w:r>
        <w:rPr>
          <w:rFonts w:ascii="Times New Roman" w:cs="Times New Roman" w:eastAsia="Times New Roman" w:hAnsi="Times New Roman"/>
          <w:sz w:val="14"/>
          <w:szCs w:val="14"/>
          <w:color w:val="auto"/>
        </w:rPr>
        <w:t>Moreover, a default by one or more of our subsidiaries could have a material adverse effect on our ability to meet our obligations under the Notes. In particular, in the event of a default by a subsidiary under any of its indebtedness, the subsidiary’s creditors could elect to declare such indebtedness, together with any accrued and unpaid interest and other amounts, to be due and payable prior to any distributions by the subsidiary to pay interest or principal due on the Notes. In addition, if we caused a subsidiary to pay a dividend to enable us to make payments in respect of the Notes, and the dividend were deemed a fraudulent transfer or in breach of relevant corporate or insurance laws, the holders of the Notes could be required to return the payment to (or for the benefit of) the creditors of that subsidiary. In addition, our subsidiaries have no obligation to pay any amounts due on the Notes, other than the Subsidiary Guarantor’s obligation under the Subsidiary Guarantee. Substantially all of our business is currently conducted through our subsidiaries, and we expect this to continue.</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Because the Subsidiary Guarantor is an intermediary holding company, the rights of the Subsidiary</w:t>
      </w:r>
    </w:p>
    <w:p>
      <w:pPr>
        <w:spacing w:after="0" w:line="20" w:lineRule="exact"/>
        <w:rPr>
          <w:sz w:val="20"/>
          <w:szCs w:val="20"/>
          <w:color w:val="auto"/>
        </w:rPr>
      </w:pPr>
    </w:p>
    <w:p>
      <w:pPr>
        <w:ind w:left="1360" w:right="1379"/>
        <w:spacing w:after="0"/>
        <w:rPr>
          <w:sz w:val="20"/>
          <w:szCs w:val="20"/>
          <w:color w:val="auto"/>
        </w:rPr>
      </w:pPr>
      <w:r>
        <w:rPr>
          <w:rFonts w:ascii="Times New Roman" w:cs="Times New Roman" w:eastAsia="Times New Roman" w:hAnsi="Times New Roman"/>
          <w:sz w:val="14"/>
          <w:szCs w:val="14"/>
          <w:color w:val="auto"/>
        </w:rPr>
        <w:t>Guarantor and the rights of its creditors, including the holders of the Notes as beneficiaries of the Subsidiary Guarantee, to a share of the assets of any subsidiary upon the liquidation or recapitalization of such subsidiary will be subject to the prior claims of such subsidiary’s creditors, except to the extent the Subsidiary Guarantor may be a creditor with recognized claims against such subsidiary. Consequently, the Subsidiary Guarantee will be structurally subordinated to all indebtedness and other liabilities of the subsidiaries of Principal Financial Services and the claims of any of their preferred stockholders, policyholders and other</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 w:name="page11"/>
    <w:bookmarkEnd w:id="1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19"/>
        <w:spacing w:after="0" w:line="252" w:lineRule="auto"/>
        <w:rPr>
          <w:sz w:val="20"/>
          <w:szCs w:val="20"/>
          <w:color w:val="auto"/>
        </w:rPr>
      </w:pPr>
      <w:r>
        <w:rPr>
          <w:rFonts w:ascii="Times New Roman" w:cs="Times New Roman" w:eastAsia="Times New Roman" w:hAnsi="Times New Roman"/>
          <w:sz w:val="14"/>
          <w:szCs w:val="14"/>
          <w:color w:val="auto"/>
        </w:rPr>
        <w:t>creditors. As of March 31, 2026, in addition to the liabilities arising from obligations to our policyholders, the subsidiaries of the Subsidiary Guarantor had approximately $18.2 million of indebtedness that would have been structurally senior to the Subsidiary Guarantee and the Notes. In addition, as of March 31, 2026, collateralized private investment vehicles that are “consolidated variable interest entities” because Principal Financial Group, Inc. is the primary beneficiary had approximately $2.8 million of secured indebtedness outstanding that would have been effectively senior to the Notes.</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 active after-market for the Notes may not develop.</w:t>
      </w:r>
    </w:p>
    <w:p>
      <w:pPr>
        <w:spacing w:after="0" w:line="120" w:lineRule="exact"/>
        <w:rPr>
          <w:sz w:val="20"/>
          <w:szCs w:val="20"/>
          <w:color w:val="auto"/>
        </w:rPr>
      </w:pPr>
    </w:p>
    <w:p>
      <w:pPr>
        <w:jc w:val="both"/>
        <w:ind w:left="1360" w:right="1419" w:firstLine="276"/>
        <w:spacing w:after="0" w:line="254" w:lineRule="auto"/>
        <w:rPr>
          <w:sz w:val="20"/>
          <w:szCs w:val="20"/>
          <w:color w:val="auto"/>
        </w:rPr>
      </w:pPr>
      <w:r>
        <w:rPr>
          <w:rFonts w:ascii="Times New Roman" w:cs="Times New Roman" w:eastAsia="Times New Roman" w:hAnsi="Times New Roman"/>
          <w:sz w:val="14"/>
          <w:szCs w:val="14"/>
          <w:color w:val="auto"/>
        </w:rPr>
        <w:t>The Notes constitute a new issue of securities with no established trading market. We do not intend to have the Notes listed on any securities exchange or included in any automated dealer quotation system. We cannot assure you that an active after-market for the Notes will develop or be sustained, that holders of the Notes will be able to sell their Notes or that holders of the Notes will be able to sell their Notes at favorable prices.</w:t>
      </w:r>
    </w:p>
    <w:p>
      <w:pPr>
        <w:spacing w:after="0" w:line="90" w:lineRule="exact"/>
        <w:rPr>
          <w:sz w:val="20"/>
          <w:szCs w:val="20"/>
          <w:color w:val="auto"/>
        </w:rPr>
      </w:pPr>
    </w:p>
    <w:p>
      <w:pPr>
        <w:ind w:left="1360" w:right="1399" w:firstLine="276"/>
        <w:spacing w:after="0" w:line="256" w:lineRule="auto"/>
        <w:rPr>
          <w:sz w:val="20"/>
          <w:szCs w:val="20"/>
          <w:color w:val="auto"/>
        </w:rPr>
      </w:pPr>
      <w:r>
        <w:rPr>
          <w:rFonts w:ascii="Times New Roman" w:cs="Times New Roman" w:eastAsia="Times New Roman" w:hAnsi="Times New Roman"/>
          <w:sz w:val="14"/>
          <w:szCs w:val="14"/>
          <w:color w:val="auto"/>
        </w:rPr>
        <w:t>If a trading market does develop, general market conditions and unpredictable factors could adversely affect market prices for the Notes, and there can be no assurance about the market prices for the Notes. Several factors, many of which are beyond our control, will influence the market value of the Notes. Factors that might influence the market value of the Notes include, but are not limited to:</w:t>
      </w:r>
    </w:p>
    <w:p>
      <w:pPr>
        <w:spacing w:after="0" w:line="58" w:lineRule="exact"/>
        <w:rPr>
          <w:sz w:val="20"/>
          <w:szCs w:val="20"/>
          <w:color w:val="auto"/>
        </w:rPr>
      </w:pPr>
    </w:p>
    <w:p>
      <w:pPr>
        <w:ind w:left="1780" w:hanging="147"/>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holders of the Notes;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of securities dealers in the Notes;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interest rates;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creditworthiness, financial condition, performance and prospects;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ratings on the Notes provided by any ratings agency have changed;</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similar securities; and</w:t>
      </w:r>
    </w:p>
    <w:p>
      <w:pPr>
        <w:spacing w:after="0" w:line="87" w:lineRule="exact"/>
        <w:rPr>
          <w:rFonts w:ascii="Times New Roman" w:cs="Times New Roman" w:eastAsia="Times New Roman" w:hAnsi="Times New Roman"/>
          <w:sz w:val="14"/>
          <w:szCs w:val="14"/>
          <w:color w:val="auto"/>
        </w:rPr>
      </w:pPr>
    </w:p>
    <w:p>
      <w:pPr>
        <w:ind w:left="1780" w:right="1459" w:hanging="147"/>
        <w:spacing w:after="0" w:line="276" w:lineRule="auto"/>
        <w:tabs>
          <w:tab w:leader="none" w:pos="1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financial, geopolitical, regulatory or judicial events that affect us or the financial markets generally.</w:t>
      </w:r>
    </w:p>
    <w:p>
      <w:pPr>
        <w:spacing w:after="0" w:line="64" w:lineRule="exact"/>
        <w:rPr>
          <w:sz w:val="20"/>
          <w:szCs w:val="20"/>
          <w:color w:val="auto"/>
        </w:rPr>
      </w:pPr>
    </w:p>
    <w:p>
      <w:pPr>
        <w:ind w:left="1360" w:right="1399" w:firstLine="276"/>
        <w:spacing w:after="0" w:line="276" w:lineRule="auto"/>
        <w:rPr>
          <w:sz w:val="20"/>
          <w:szCs w:val="20"/>
          <w:color w:val="auto"/>
        </w:rPr>
      </w:pPr>
      <w:r>
        <w:rPr>
          <w:rFonts w:ascii="Times New Roman" w:cs="Times New Roman" w:eastAsia="Times New Roman" w:hAnsi="Times New Roman"/>
          <w:sz w:val="14"/>
          <w:szCs w:val="14"/>
          <w:color w:val="auto"/>
        </w:rPr>
        <w:t>If you purchase Notes, whether in this offering or in the secondary market, the Notes may subsequently trade at a discount to the price that you paid for them.</w:t>
      </w:r>
    </w:p>
    <w:p>
      <w:pPr>
        <w:spacing w:after="0" w:line="75" w:lineRule="exact"/>
        <w:rPr>
          <w:sz w:val="20"/>
          <w:szCs w:val="20"/>
          <w:color w:val="auto"/>
        </w:rPr>
      </w:pPr>
    </w:p>
    <w:p>
      <w:pPr>
        <w:jc w:val="both"/>
        <w:ind w:left="1360" w:right="1459" w:firstLine="276"/>
        <w:spacing w:after="0" w:line="256" w:lineRule="auto"/>
        <w:rPr>
          <w:sz w:val="20"/>
          <w:szCs w:val="20"/>
          <w:color w:val="auto"/>
        </w:rPr>
      </w:pPr>
      <w:r>
        <w:rPr>
          <w:rFonts w:ascii="Times New Roman" w:cs="Times New Roman" w:eastAsia="Times New Roman" w:hAnsi="Times New Roman"/>
          <w:sz w:val="14"/>
          <w:szCs w:val="14"/>
          <w:color w:val="auto"/>
        </w:rPr>
        <w:t>The condition of the financial markets and prevailing interest rates have fluctuated in the past and are likely to fluctuate in the future, which could have an adverse effect on the market price of the Notes. Notes purchased in this offering or in the secondary market may subsequently trade at a discount to the price paid for them in any such transaction.</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Subsidiary Guarantee may be subject to challenge under fraudulent transfer laws.</w:t>
      </w:r>
    </w:p>
    <w:p>
      <w:pPr>
        <w:spacing w:after="0" w:line="120" w:lineRule="exact"/>
        <w:rPr>
          <w:sz w:val="20"/>
          <w:szCs w:val="20"/>
          <w:color w:val="auto"/>
        </w:rPr>
      </w:pPr>
    </w:p>
    <w:p>
      <w:pPr>
        <w:ind w:left="1360" w:right="1399" w:firstLine="276"/>
        <w:spacing w:after="0" w:line="249" w:lineRule="auto"/>
        <w:rPr>
          <w:sz w:val="20"/>
          <w:szCs w:val="20"/>
          <w:color w:val="auto"/>
        </w:rPr>
      </w:pPr>
      <w:r>
        <w:rPr>
          <w:rFonts w:ascii="Times New Roman" w:cs="Times New Roman" w:eastAsia="Times New Roman" w:hAnsi="Times New Roman"/>
          <w:sz w:val="14"/>
          <w:szCs w:val="14"/>
          <w:color w:val="auto"/>
        </w:rPr>
        <w:t>Under U.S. bankruptcy law and comparable provisions of state fraudulent transfer laws, a court could subordinate or void any guarantee if it found that the guarantee was incurred with actual intent to hinder, delay or defraud creditors or the guarantor did not receive fair consideration or reasonably equivalent value for the guarantee and the guarantor was any of the following: (i) insolvent or was rendered insolvent because of the guarantee; (ii) engaged in a business or transaction for which its remaining assets constituted unreasonably small capital; or (iii) intended to incur, or believed that it would incur, debts beyond its ability to pay at maturity. To the extent the Subsidiary Guarantee were to be voided as a fraudulent conveyance or held unenforceable for any other reason, holders of the Notes would cease to have any claim in respect of the Subsidiary Guarantor and would be solely our creditors. In that event, the claims of the holders of the Notes against the Subsidiary Guarantor would be subject to the prior payment of all liabilities of the Subsidiary Guarantor. There can be no assurance that, after providing for all prior claims, there would be sufficient assets to satisfy the claims of the holders of the Notes relating to a voided Subsidiary Guarantee.</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 w:name="page12"/>
    <w:bookmarkEnd w:id="11"/>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0" w:lineRule="exact"/>
        <w:rPr>
          <w:sz w:val="20"/>
          <w:szCs w:val="20"/>
          <w:color w:val="auto"/>
        </w:rPr>
      </w:pPr>
    </w:p>
    <w:p>
      <w:pPr>
        <w:ind w:left="1360" w:right="1379" w:firstLine="276"/>
        <w:spacing w:after="0" w:line="256" w:lineRule="auto"/>
        <w:rPr>
          <w:sz w:val="20"/>
          <w:szCs w:val="20"/>
          <w:color w:val="auto"/>
        </w:rPr>
      </w:pPr>
      <w:r>
        <w:rPr>
          <w:rFonts w:ascii="Times New Roman" w:cs="Times New Roman" w:eastAsia="Times New Roman" w:hAnsi="Times New Roman"/>
          <w:sz w:val="14"/>
          <w:szCs w:val="14"/>
          <w:color w:val="auto"/>
        </w:rPr>
        <w:t>We estimate that the net proceeds from this offering will be approximately $394.9 million, after deducting the underwriting discount and estimated offering expenses payable by us. We intend to use the net proceeds from this offering for general corporate purposes, which may include the repayment, redemption or refinancing of existing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20" w:lineRule="exact"/>
        <w:rPr>
          <w:sz w:val="20"/>
          <w:szCs w:val="20"/>
          <w:color w:val="auto"/>
        </w:rPr>
      </w:pPr>
    </w:p>
    <w:p>
      <w:pPr>
        <w:jc w:val="both"/>
        <w:ind w:left="1360" w:right="1459" w:firstLine="276"/>
        <w:spacing w:after="0" w:line="261" w:lineRule="auto"/>
        <w:rPr>
          <w:sz w:val="20"/>
          <w:szCs w:val="20"/>
          <w:color w:val="auto"/>
        </w:rPr>
      </w:pPr>
      <w:r>
        <w:rPr>
          <w:rFonts w:ascii="Times New Roman" w:cs="Times New Roman" w:eastAsia="Times New Roman" w:hAnsi="Times New Roman"/>
          <w:sz w:val="14"/>
          <w:szCs w:val="14"/>
          <w:color w:val="auto"/>
        </w:rPr>
        <w:t>The following table shows our consolidated capitalization as of March 31, 2026 (i) on an actual basis and (ii) on an as adjusted basis giving effect to the sale of the Notes offered hereby and the use of proceeds therefrom.</w:t>
      </w:r>
    </w:p>
    <w:p>
      <w:pPr>
        <w:spacing w:after="0" w:line="85" w:lineRule="exact"/>
        <w:rPr>
          <w:sz w:val="20"/>
          <w:szCs w:val="20"/>
          <w:color w:val="auto"/>
        </w:rPr>
      </w:pPr>
    </w:p>
    <w:p>
      <w:pPr>
        <w:ind w:left="1360" w:right="1459" w:firstLine="276"/>
        <w:spacing w:after="0" w:line="256" w:lineRule="auto"/>
        <w:rPr>
          <w:sz w:val="20"/>
          <w:szCs w:val="20"/>
          <w:color w:val="auto"/>
        </w:rPr>
      </w:pPr>
      <w:r>
        <w:rPr>
          <w:rFonts w:ascii="Times New Roman" w:cs="Times New Roman" w:eastAsia="Times New Roman" w:hAnsi="Times New Roman"/>
          <w:sz w:val="14"/>
          <w:szCs w:val="14"/>
          <w:color w:val="auto"/>
        </w:rPr>
        <w:t>This information should be read in conjunction with the section entitled “Use of Proceeds” in this prospectus supplement and our unaudited consolidated financial statements and the related notes and “Management’s Discussion and Analysis of Financial Condition and Results of Operations” included in the Q1 2026 Form 10-Q, which is incorporated by reference herein and in the accompanying prospectus.</w:t>
      </w:r>
    </w:p>
    <w:p>
      <w:pPr>
        <w:sectPr>
          <w:pgSz w:w="11900" w:h="16838" w:orient="portrait"/>
          <w:cols w:equalWidth="0" w:num="1">
            <w:col w:w="9019"/>
          </w:cols>
          <w:pgMar w:left="1440" w:top="104" w:right="1440" w:bottom="1440" w:gutter="0" w:footer="0" w:header="0"/>
        </w:sectPr>
      </w:pP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10795</wp:posOffset>
            </wp:positionV>
            <wp:extent cx="3996055" cy="137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996055" cy="137795"/>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Long-term debt</w:t>
      </w:r>
      <w:r>
        <w:rPr>
          <w:rFonts w:ascii="Times New Roman" w:cs="Times New Roman" w:eastAsia="Times New Roman" w:hAnsi="Times New Roman"/>
          <w:sz w:val="17"/>
          <w:szCs w:val="17"/>
          <w:color w:val="auto"/>
          <w:vertAlign w:val="superscript"/>
        </w:rPr>
        <w:t>(1)</w:t>
      </w:r>
    </w:p>
    <w:p>
      <w:pPr>
        <w:spacing w:after="0" w:line="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5.300% Notes due 2037 offered hereby</w:t>
      </w:r>
      <w:r>
        <w:rPr>
          <w:rFonts w:ascii="Times New Roman" w:cs="Times New Roman" w:eastAsia="Times New Roman" w:hAnsi="Times New Roman"/>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5715</wp:posOffset>
            </wp:positionV>
            <wp:extent cx="3996055" cy="125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996055" cy="125095"/>
                    </a:xfrm>
                    <a:prstGeom prst="rect">
                      <a:avLst/>
                    </a:prstGeom>
                    <a:noFill/>
                  </pic:spPr>
                </pic:pic>
              </a:graphicData>
            </a:graphic>
          </wp:anchor>
        </w:drawing>
      </w:r>
    </w:p>
    <w:p>
      <w:pPr>
        <w:spacing w:after="0" w:line="1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Total long-term debt</w:t>
      </w:r>
    </w:p>
    <w:p>
      <w:pPr>
        <w:spacing w:after="0" w:line="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12065</wp:posOffset>
            </wp:positionV>
            <wp:extent cx="3996055" cy="125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996055" cy="125095"/>
                    </a:xfrm>
                    <a:prstGeom prst="rect">
                      <a:avLst/>
                    </a:prstGeom>
                    <a:noFill/>
                  </pic:spPr>
                </pic:pic>
              </a:graphicData>
            </a:graphic>
          </wp:anchor>
        </w:drawing>
      </w:r>
    </w:p>
    <w:p>
      <w:pPr>
        <w:spacing w:after="0" w:line="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12065</wp:posOffset>
            </wp:positionV>
            <wp:extent cx="3996055" cy="125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996055" cy="125095"/>
                    </a:xfrm>
                    <a:prstGeom prst="rect">
                      <a:avLst/>
                    </a:prstGeom>
                    <a:noFill/>
                  </pic:spPr>
                </pic:pic>
              </a:graphicData>
            </a:graphic>
          </wp:anchor>
        </w:drawing>
      </w:r>
    </w:p>
    <w:p>
      <w:pPr>
        <w:spacing w:after="0" w:line="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Accumulated other comprehensive income (loss)</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Treasury stock,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19050</wp:posOffset>
            </wp:positionV>
            <wp:extent cx="3996055" cy="131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996055" cy="131445"/>
                    </a:xfrm>
                    <a:prstGeom prst="rect">
                      <a:avLst/>
                    </a:prstGeom>
                    <a:noFill/>
                  </pic:spPr>
                </pic:pic>
              </a:graphicData>
            </a:graphic>
          </wp:anchor>
        </w:drawing>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Total stockholders’ equity attributable to Principal</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Financial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12065</wp:posOffset>
            </wp:positionV>
            <wp:extent cx="3996055" cy="137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996055" cy="137795"/>
                    </a:xfrm>
                    <a:prstGeom prst="rect">
                      <a:avLst/>
                    </a:prstGeom>
                    <a:noFill/>
                  </pic:spPr>
                </pic:pic>
              </a:graphicData>
            </a:graphic>
          </wp:anchor>
        </w:drawing>
      </w:r>
    </w:p>
    <w:p>
      <w:pPr>
        <w:spacing w:after="0" w:line="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Noncontrolling interest</w:t>
      </w:r>
    </w:p>
    <w:p>
      <w:pPr>
        <w:spacing w:after="0" w:line="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19050</wp:posOffset>
            </wp:positionV>
            <wp:extent cx="3996055" cy="151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91440</wp:posOffset>
            </wp:positionV>
            <wp:extent cx="94678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94678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6"/>
          </w:tcPr>
          <w:p>
            <w:pPr>
              <w:jc w:val="center"/>
              <w:ind w:left="137"/>
              <w:spacing w:after="0"/>
              <w:rPr>
                <w:sz w:val="20"/>
                <w:szCs w:val="20"/>
                <w:color w:val="auto"/>
              </w:rPr>
            </w:pPr>
            <w:r>
              <w:rPr>
                <w:rFonts w:ascii="Times New Roman" w:cs="Times New Roman" w:eastAsia="Times New Roman" w:hAnsi="Times New Roman"/>
                <w:sz w:val="11"/>
                <w:szCs w:val="11"/>
                <w:b w:val="1"/>
                <w:bCs w:val="1"/>
                <w:color w:val="auto"/>
                <w:w w:val="95"/>
              </w:rPr>
              <w:t>March 31, 2026</w:t>
            </w:r>
          </w:p>
        </w:tc>
        <w:tc>
          <w:tcPr>
            <w:tcW w:w="340" w:type="dxa"/>
            <w:vAlign w:val="bottom"/>
            <w:tcBorders>
              <w:bottom w:val="single" w:sz="8" w:color="auto"/>
            </w:tcBorders>
          </w:tcPr>
          <w:p>
            <w:pPr>
              <w:spacing w:after="0"/>
              <w:rPr>
                <w:sz w:val="14"/>
                <w:szCs w:val="14"/>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6"/>
              </w:rPr>
              <w:t>Actual</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5"/>
          </w:tcPr>
          <w:p>
            <w:pPr>
              <w:jc w:val="right"/>
              <w:ind w:right="14"/>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As Adjusted </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5"/>
          </w:tcPr>
          <w:p>
            <w:pPr>
              <w:jc w:val="center"/>
              <w:ind w:left="237"/>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3,927.7​​ ​​$</w:t>
            </w:r>
          </w:p>
        </w:tc>
        <w:tc>
          <w:tcPr>
            <w:tcW w:w="100" w:type="dxa"/>
            <w:vAlign w:val="bottom"/>
          </w:tcPr>
          <w:p>
            <w:pPr>
              <w:spacing w:after="0"/>
              <w:rPr>
                <w:sz w:val="20"/>
                <w:szCs w:val="20"/>
                <w:color w:val="auto"/>
              </w:rPr>
            </w:pPr>
          </w:p>
        </w:tc>
        <w:tc>
          <w:tcPr>
            <w:tcW w:w="48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color w:val="auto"/>
              </w:rPr>
              <w:t>3,927.7​</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396.2​</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3,927.7​​ ​​</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color w:val="auto"/>
              </w:rPr>
              <w:t>4,323.9​</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 11,350.4​​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color w:val="auto"/>
              </w:rPr>
              <w:t>​ 11,350.4​</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 ​</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18,318.9​​ ​​</w:t>
            </w:r>
          </w:p>
        </w:tc>
        <w:tc>
          <w:tcPr>
            <w:tcW w:w="58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color w:val="auto"/>
              </w:rPr>
              <w:t>​ 18,318.9​</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4"/>
          </w:tcPr>
          <w:p>
            <w:pPr>
              <w:jc w:val="right"/>
              <w:spacing w:after="0" w:line="139" w:lineRule="exact"/>
              <w:rPr>
                <w:sz w:val="20"/>
                <w:szCs w:val="20"/>
                <w:color w:val="auto"/>
              </w:rPr>
            </w:pPr>
            <w:r>
              <w:rPr>
                <w:rFonts w:ascii="Times New Roman" w:cs="Times New Roman" w:eastAsia="Times New Roman" w:hAnsi="Times New Roman"/>
                <w:sz w:val="14"/>
                <w:szCs w:val="14"/>
                <w:color w:val="auto"/>
              </w:rPr>
              <w:t>​ (4,343.7)</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spacing w:after="0" w:line="139" w:lineRule="exact"/>
              <w:rPr>
                <w:sz w:val="20"/>
                <w:szCs w:val="20"/>
                <w:color w:val="auto"/>
              </w:rPr>
            </w:pPr>
            <w:r>
              <w:rPr>
                <w:rFonts w:ascii="Times New Roman" w:cs="Times New Roman" w:eastAsia="Times New Roman" w:hAnsi="Times New Roman"/>
                <w:sz w:val="14"/>
                <w:szCs w:val="14"/>
                <w:color w:val="auto"/>
              </w:rPr>
              <w:t>​ (4,343.7)</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jc w:val="right"/>
              <w:spacing w:after="0" w:line="58"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4"/>
          </w:tcPr>
          <w:p>
            <w:pPr>
              <w:jc w:val="right"/>
              <w:spacing w:after="0" w:line="139" w:lineRule="exact"/>
              <w:rPr>
                <w:sz w:val="20"/>
                <w:szCs w:val="20"/>
                <w:color w:val="auto"/>
              </w:rPr>
            </w:pPr>
            <w:r>
              <w:rPr>
                <w:rFonts w:ascii="Times New Roman" w:cs="Times New Roman" w:eastAsia="Times New Roman" w:hAnsi="Times New Roman"/>
                <w:sz w:val="14"/>
                <w:szCs w:val="14"/>
                <w:color w:val="auto"/>
                <w:w w:val="99"/>
              </w:rPr>
              <w:t>​(13,515.3)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spacing w:after="0" w:line="139" w:lineRule="exact"/>
              <w:rPr>
                <w:sz w:val="20"/>
                <w:szCs w:val="20"/>
                <w:color w:val="auto"/>
              </w:rPr>
            </w:pPr>
            <w:r>
              <w:rPr>
                <w:rFonts w:ascii="Times New Roman" w:cs="Times New Roman" w:eastAsia="Times New Roman" w:hAnsi="Times New Roman"/>
                <w:sz w:val="14"/>
                <w:szCs w:val="14"/>
                <w:color w:val="auto"/>
                <w:w w:val="95"/>
              </w:rPr>
              <w:t>​(13,515.3)</w:t>
            </w: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jc w:val="right"/>
              <w:spacing w:after="0" w:line="52"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 11,815.3​​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color w:val="auto"/>
              </w:rPr>
              <w:t>​ 11,815.3​</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spacing w:after="0" w:line="190"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2"/>
                <w:szCs w:val="22"/>
                <w:color w:val="auto"/>
                <w:vertAlign w:val="superscript"/>
              </w:rPr>
              <w:t>​</w:t>
            </w:r>
          </w:p>
        </w:tc>
        <w:tc>
          <w:tcPr>
            <w:tcW w:w="58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2"/>
                <w:szCs w:val="12"/>
                <w:color w:val="auto"/>
              </w:rPr>
              <w:t>33.4</w:t>
            </w:r>
            <w:r>
              <w:rPr>
                <w:rFonts w:ascii="Times New Roman" w:cs="Times New Roman" w:eastAsia="Times New Roman" w:hAnsi="Times New Roman"/>
                <w:sz w:val="22"/>
                <w:szCs w:val="22"/>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80" w:type="dxa"/>
            <w:vAlign w:val="bottom"/>
            <w:gridSpan w:val="2"/>
          </w:tcPr>
          <w:p>
            <w:pPr>
              <w:jc w:val="right"/>
              <w:ind w:right="14"/>
              <w:spacing w:after="0" w:line="190" w:lineRule="exact"/>
              <w:rPr>
                <w:sz w:val="20"/>
                <w:szCs w:val="20"/>
                <w:color w:val="auto"/>
              </w:rPr>
            </w:pPr>
            <w:r>
              <w:rPr>
                <w:rFonts w:ascii="Times New Roman" w:cs="Times New Roman" w:eastAsia="Times New Roman" w:hAnsi="Times New Roman"/>
                <w:sz w:val="12"/>
                <w:szCs w:val="12"/>
                <w:color w:val="auto"/>
              </w:rPr>
              <w:t>33.4</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6"/>
          </w:tcPr>
          <w:p>
            <w:pPr>
              <w:spacing w:after="0" w:line="198"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 11,848.7</w:t>
            </w:r>
            <w:r>
              <w:rPr>
                <w:rFonts w:ascii="Times New Roman" w:cs="Times New Roman" w:eastAsia="Times New Roman" w:hAnsi="Times New Roman"/>
                <w:sz w:val="22"/>
                <w:szCs w:val="22"/>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4"/>
          </w:tcPr>
          <w:p>
            <w:pPr>
              <w:jc w:val="right"/>
              <w:ind w:right="14"/>
              <w:spacing w:after="0" w:line="198" w:lineRule="exact"/>
              <w:rPr>
                <w:sz w:val="20"/>
                <w:szCs w:val="20"/>
                <w:color w:val="auto"/>
              </w:rPr>
            </w:pPr>
            <w:r>
              <w:rPr>
                <w:rFonts w:ascii="Times New Roman" w:cs="Times New Roman" w:eastAsia="Times New Roman" w:hAnsi="Times New Roman"/>
                <w:sz w:val="12"/>
                <w:szCs w:val="12"/>
                <w:color w:val="auto"/>
              </w:rPr>
              <w:t>​ 11,848.7</w:t>
            </w:r>
            <w:r>
              <w:rPr>
                <w:rFonts w:ascii="Times New Roman" w:cs="Times New Roman" w:eastAsia="Times New Roman" w:hAnsi="Times New Roman"/>
                <w:sz w:val="22"/>
                <w:szCs w:val="22"/>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6"/>
          </w:tcPr>
          <w:p>
            <w:pPr>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$ 15,776.4</w:t>
            </w:r>
            <w:r>
              <w:rPr>
                <w:rFonts w:ascii="Times New Roman" w:cs="Times New Roman" w:eastAsia="Times New Roman" w:hAnsi="Times New Roman"/>
                <w:sz w:val="21"/>
                <w:szCs w:val="21"/>
                <w:color w:val="auto"/>
                <w:vertAlign w:val="subscript"/>
              </w:rPr>
              <w:t>​​</w:t>
            </w:r>
          </w:p>
        </w:tc>
        <w:tc>
          <w:tcPr>
            <w:tcW w:w="740" w:type="dxa"/>
            <w:vAlign w:val="bottom"/>
            <w:gridSpan w:val="5"/>
          </w:tcPr>
          <w:p>
            <w:pPr>
              <w:jc w:val="right"/>
              <w:ind w:right="14"/>
              <w:spacing w:after="0" w:line="187"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$ 16,172.6</w:t>
            </w:r>
            <w:r>
              <w:rPr>
                <w:rFonts w:ascii="Times New Roman" w:cs="Times New Roman" w:eastAsia="Times New Roman" w:hAnsi="Times New Roman"/>
                <w:sz w:val="21"/>
                <w:szCs w:val="21"/>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-1846580</wp:posOffset>
            </wp:positionV>
            <wp:extent cx="10541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5360" w:space="720"/>
            <w:col w:w="2939"/>
          </w:cols>
          <w:pgMar w:left="1440" w:top="104" w:right="1440" w:bottom="1440" w:gutter="0" w:footer="0" w:header="0"/>
          <w:type w:val="continuous"/>
        </w:sectPr>
      </w:pPr>
    </w:p>
    <w:p>
      <w:pPr>
        <w:ind w:left="1640" w:right="1599" w:hanging="282"/>
        <w:spacing w:after="0" w:line="276" w:lineRule="auto"/>
        <w:tabs>
          <w:tab w:leader="none" w:pos="1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long-term debt outstanding, we had short-term debt outstanding of $18.2 million as of March 31, 2026. Long-term debt, including the Notes offered hereby, is net of debt issuance costs.</w:t>
      </w:r>
    </w:p>
    <w:p>
      <w:pPr>
        <w:spacing w:after="0" w:line="12" w:lineRule="exact"/>
        <w:rPr>
          <w:rFonts w:ascii="Times New Roman" w:cs="Times New Roman" w:eastAsia="Times New Roman" w:hAnsi="Times New Roman"/>
          <w:sz w:val="14"/>
          <w:szCs w:val="14"/>
          <w:color w:val="auto"/>
        </w:rPr>
      </w:pPr>
    </w:p>
    <w:p>
      <w:pPr>
        <w:ind w:left="1640" w:hanging="282"/>
        <w:spacing w:after="0"/>
        <w:tabs>
          <w:tab w:leader="none" w:pos="1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3" w:name="page14"/>
    <w:bookmarkEnd w:id="13"/>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NOTES</w:t>
      </w:r>
    </w:p>
    <w:p>
      <w:pPr>
        <w:spacing w:after="0" w:line="118" w:lineRule="exact"/>
        <w:rPr>
          <w:sz w:val="20"/>
          <w:szCs w:val="20"/>
          <w:color w:val="auto"/>
        </w:rPr>
      </w:pPr>
    </w:p>
    <w:p>
      <w:pPr>
        <w:ind w:left="1360" w:right="1379" w:firstLine="276"/>
        <w:spacing w:after="0" w:line="247" w:lineRule="auto"/>
        <w:rPr>
          <w:sz w:val="20"/>
          <w:szCs w:val="20"/>
          <w:color w:val="auto"/>
        </w:rPr>
      </w:pPr>
      <w:r>
        <w:rPr>
          <w:rFonts w:ascii="Times New Roman" w:cs="Times New Roman" w:eastAsia="Times New Roman" w:hAnsi="Times New Roman"/>
          <w:sz w:val="14"/>
          <w:szCs w:val="14"/>
          <w:i w:val="1"/>
          <w:iCs w:val="1"/>
          <w:color w:val="auto"/>
        </w:rPr>
        <w:t>The Notes offered by this prospectus supplement are a series of “senior debt securities” as described in the accompanying prospectus. This description supplements the description of the general terms and provisions of the senior debt securities found in the accompanying prospectus in the section entitled “Description of Debt Securities.”</w:t>
      </w:r>
    </w:p>
    <w:p>
      <w:pPr>
        <w:spacing w:after="0" w:line="83" w:lineRule="exact"/>
        <w:rPr>
          <w:sz w:val="20"/>
          <w:szCs w:val="20"/>
          <w:color w:val="auto"/>
        </w:rPr>
      </w:pPr>
    </w:p>
    <w:p>
      <w:pPr>
        <w:ind w:left="1360" w:right="1399" w:firstLine="276"/>
        <w:spacing w:after="0"/>
        <w:rPr>
          <w:sz w:val="20"/>
          <w:szCs w:val="20"/>
          <w:color w:val="auto"/>
        </w:rPr>
      </w:pPr>
      <w:r>
        <w:rPr>
          <w:rFonts w:ascii="Times New Roman" w:cs="Times New Roman" w:eastAsia="Times New Roman" w:hAnsi="Times New Roman"/>
          <w:sz w:val="14"/>
          <w:szCs w:val="14"/>
          <w:i w:val="1"/>
          <w:iCs w:val="1"/>
          <w:color w:val="auto"/>
        </w:rPr>
        <w:t>Capitalized terms used and not otherwise defined below or elsewhere in this prospectus supplement or the accompanying prospectus are used with the respective meanings given thereto in the Senior Indenture among Principal Financial Group, Inc., Principal Financial Services, as the subsidiary guarantor, and The Bank of New York Mellon Trust Company, N.A., as trustee (the “trustee”), dated as of May 21, 2009, as will be supplemented by a supplemental indenture with respect to the Notes (as supplemented, the “Senior Indenture”). Any references to “Notes” contained in this prospectus supplement refer to the 5.300% Senior Notes due 2037 offered by this prospectus supplement, unless the context indicates otherwise. In this “Description of the Notes,” references to “Principal,” “we,” “us” and “our” or similar terms are only to Principal Financial Group, Inc. and not its subsidiaries, and references to the “Subsidiary Guarantor” are only to Principal Financial Services, Inc. and not its subsidiaries.</w:t>
      </w:r>
    </w:p>
    <w:p>
      <w:pPr>
        <w:spacing w:after="0" w:line="88" w:lineRule="exact"/>
        <w:rPr>
          <w:sz w:val="20"/>
          <w:szCs w:val="20"/>
          <w:color w:val="auto"/>
        </w:rPr>
      </w:pPr>
    </w:p>
    <w:p>
      <w:pPr>
        <w:ind w:left="1360" w:right="1419" w:firstLine="276"/>
        <w:spacing w:after="0" w:line="247" w:lineRule="auto"/>
        <w:rPr>
          <w:sz w:val="20"/>
          <w:szCs w:val="20"/>
          <w:color w:val="auto"/>
        </w:rPr>
      </w:pPr>
      <w:r>
        <w:rPr>
          <w:rFonts w:ascii="Times New Roman" w:cs="Times New Roman" w:eastAsia="Times New Roman" w:hAnsi="Times New Roman"/>
          <w:sz w:val="14"/>
          <w:szCs w:val="14"/>
          <w:i w:val="1"/>
          <w:iCs w:val="1"/>
          <w:color w:val="auto"/>
        </w:rPr>
        <w:t>The Senior Indenture contains a limitation on liens covenant and a limitation on consolidation, merger and sale of assets covenant, each of which contains important exceptions. See the sections entitled “Description of Debt Securities — Limitations upon Liens” and “— Consolidation, Merger and Sale of Assets” in the accompanying prospectus.</w:t>
      </w:r>
    </w:p>
    <w:p>
      <w:pPr>
        <w:spacing w:after="0" w:line="1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0" w:lineRule="exact"/>
        <w:rPr>
          <w:sz w:val="20"/>
          <w:szCs w:val="20"/>
          <w:color w:val="auto"/>
        </w:rPr>
      </w:pPr>
    </w:p>
    <w:p>
      <w:pPr>
        <w:ind w:left="1360" w:right="1379" w:firstLine="276"/>
        <w:spacing w:after="0" w:line="239" w:lineRule="auto"/>
        <w:rPr>
          <w:sz w:val="20"/>
          <w:szCs w:val="20"/>
          <w:color w:val="auto"/>
        </w:rPr>
      </w:pPr>
      <w:r>
        <w:rPr>
          <w:rFonts w:ascii="Times New Roman" w:cs="Times New Roman" w:eastAsia="Times New Roman" w:hAnsi="Times New Roman"/>
          <w:sz w:val="14"/>
          <w:szCs w:val="14"/>
          <w:color w:val="auto"/>
        </w:rPr>
        <w:t>The Notes initially will be limited to $400,000,000 aggregate principal amount. We may, without the consent of the holders of the Notes, increase the principal amount of the Notes in the future, on the same terms and conditions (except that the public offering price, the first interest payment date and the issue date may vary) and with the same CUSIP and ISIN numbers as the Notes being offered by this prospectus supplement. The Notes will be our senior unsecured and unsubordinated obligations and will rank equally in right of payment with all of our existing and future senior indebtedness and senior in right of payment to all of our existing and future subordinated indebtedness. In addition, the Notes will be effectively subordinated to any of our secured indebtedness to the extent of the assets securing such indebtedness. The Notes will be structurally subordinated to all indebtedness and other liabilities (excluding the Subsidiary Guarantee) of our subsidiaries and the claims of any of their preferred stockholders, policyholders and other creditors.</w:t>
      </w:r>
    </w:p>
    <w:p>
      <w:pPr>
        <w:spacing w:after="0" w:line="94" w:lineRule="exact"/>
        <w:rPr>
          <w:sz w:val="20"/>
          <w:szCs w:val="20"/>
          <w:color w:val="auto"/>
        </w:rPr>
      </w:pPr>
    </w:p>
    <w:p>
      <w:pPr>
        <w:ind w:left="1360" w:right="1459" w:firstLine="276"/>
        <w:spacing w:after="0" w:line="251" w:lineRule="auto"/>
        <w:rPr>
          <w:sz w:val="20"/>
          <w:szCs w:val="20"/>
          <w:color w:val="auto"/>
        </w:rPr>
      </w:pPr>
      <w:r>
        <w:rPr>
          <w:rFonts w:ascii="Times New Roman" w:cs="Times New Roman" w:eastAsia="Times New Roman" w:hAnsi="Times New Roman"/>
          <w:sz w:val="14"/>
          <w:szCs w:val="14"/>
          <w:color w:val="auto"/>
        </w:rPr>
        <w:t>Principal of, and premium, if any, and interest on the Notes will be payable, and transfers of the Notes will be registrable, at our office or agency in the Borough of Manhattan, The City of New York, which initially shall be the corporate trust office of the trustee. Transfers of the Notes will also be registrable at any of our other offices or agencies that we may maintain for that purpose. The Notes are to be issued in denominations of $2,000 or any multiple of $1,000 in excess thereof. No service charge will be made for any registration of transfer or exchange of Notes, except for any tax or other governmental charge that may be imposed in connection therewith.</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Subsidiary Guarantee</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10" w:lineRule="exact"/>
        <w:rPr>
          <w:sz w:val="20"/>
          <w:szCs w:val="20"/>
          <w:color w:val="auto"/>
        </w:rPr>
      </w:pPr>
    </w:p>
    <w:p>
      <w:pPr>
        <w:ind w:left="1360" w:right="1519" w:firstLine="276"/>
        <w:spacing w:after="0" w:line="256" w:lineRule="auto"/>
        <w:rPr>
          <w:sz w:val="20"/>
          <w:szCs w:val="20"/>
          <w:color w:val="auto"/>
        </w:rPr>
      </w:pPr>
      <w:r>
        <w:rPr>
          <w:rFonts w:ascii="Times New Roman" w:cs="Times New Roman" w:eastAsia="Times New Roman" w:hAnsi="Times New Roman"/>
          <w:sz w:val="14"/>
          <w:szCs w:val="14"/>
          <w:color w:val="auto"/>
        </w:rPr>
        <w:t>Our obligations under the Senior Indenture and the Notes, including payment of principal of, and premium, if any, and interest on the Notes, will be fully, unconditionally and irrevocably guaranteed on a senior unsecured basis by the Subsidiary Guarantor, which is an intermediary holding company whose assets include all of the outstanding shares of our principal operating companies, including Principal Life.</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Ranking</w:t>
      </w:r>
    </w:p>
    <w:p>
      <w:pPr>
        <w:spacing w:after="0" w:line="120" w:lineRule="exact"/>
        <w:rPr>
          <w:sz w:val="20"/>
          <w:szCs w:val="20"/>
          <w:color w:val="auto"/>
        </w:rPr>
      </w:pPr>
    </w:p>
    <w:p>
      <w:pPr>
        <w:ind w:left="1360" w:right="1519" w:firstLine="276"/>
        <w:spacing w:after="0" w:line="276" w:lineRule="auto"/>
        <w:rPr>
          <w:sz w:val="20"/>
          <w:szCs w:val="20"/>
          <w:color w:val="auto"/>
        </w:rPr>
      </w:pPr>
      <w:r>
        <w:rPr>
          <w:rFonts w:ascii="Times New Roman" w:cs="Times New Roman" w:eastAsia="Times New Roman" w:hAnsi="Times New Roman"/>
          <w:sz w:val="14"/>
          <w:szCs w:val="14"/>
          <w:color w:val="auto"/>
        </w:rPr>
        <w:t>The Subsidiary Guarantee will be a senior unsecured and unsubordinated obligation of the Subsidiary Guarantor and will rank equally in right of payment with all of its existing and future senior indebtedness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196850</wp:posOffset>
            </wp:positionV>
            <wp:extent cx="52444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599"/>
        <w:spacing w:after="0" w:line="246" w:lineRule="auto"/>
        <w:rPr>
          <w:sz w:val="20"/>
          <w:szCs w:val="20"/>
          <w:color w:val="auto"/>
        </w:rPr>
      </w:pPr>
      <w:r>
        <w:rPr>
          <w:rFonts w:ascii="Times New Roman" w:cs="Times New Roman" w:eastAsia="Times New Roman" w:hAnsi="Times New Roman"/>
          <w:sz w:val="14"/>
          <w:szCs w:val="14"/>
          <w:color w:val="auto"/>
        </w:rPr>
        <w:t>and senior in right of payment to all of its existing and future subordinated indebtedness. In addition, the Subsidiary Guarantee will be effectively subordinated to any secured indebtedness of the Subsidiary Guarantor to the extent of the assets securing such indebtedness. The Subsidiary Guarantee will be structurally subordinated to all indebtedness and other liabilities of the subsidiaries of the Subsidiary Guarantor and the claims of any of their preferred stockholders, policyholders and other creditors.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Modification of Subsidiary Guarantee</w:t>
      </w:r>
    </w:p>
    <w:p>
      <w:pPr>
        <w:spacing w:after="0" w:line="120" w:lineRule="exact"/>
        <w:rPr>
          <w:sz w:val="20"/>
          <w:szCs w:val="20"/>
          <w:color w:val="auto"/>
        </w:rPr>
      </w:pPr>
    </w:p>
    <w:p>
      <w:pPr>
        <w:jc w:val="both"/>
        <w:ind w:left="1360" w:right="1419" w:firstLine="276"/>
        <w:spacing w:after="0" w:line="246" w:lineRule="auto"/>
        <w:rPr>
          <w:sz w:val="20"/>
          <w:szCs w:val="20"/>
          <w:color w:val="auto"/>
        </w:rPr>
      </w:pPr>
      <w:r>
        <w:rPr>
          <w:rFonts w:ascii="Times New Roman" w:cs="Times New Roman" w:eastAsia="Times New Roman" w:hAnsi="Times New Roman"/>
          <w:sz w:val="14"/>
          <w:szCs w:val="14"/>
          <w:color w:val="auto"/>
        </w:rPr>
        <w:t>The Subsidiary Guarantee may be modified or amended on the same terms as the Senior Indenture may be modified or amended as described under “Description of Debt Securities — Modification and Waiver” in the accompanying prospectus.</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Merger or Consolidation of the Subsidiary Guarantor</w:t>
      </w:r>
    </w:p>
    <w:p>
      <w:pPr>
        <w:spacing w:after="0" w:line="110" w:lineRule="exact"/>
        <w:rPr>
          <w:sz w:val="20"/>
          <w:szCs w:val="20"/>
          <w:color w:val="auto"/>
        </w:rPr>
      </w:pPr>
    </w:p>
    <w:p>
      <w:pPr>
        <w:ind w:left="1360" w:right="1459" w:firstLine="276"/>
        <w:spacing w:after="0" w:line="246" w:lineRule="auto"/>
        <w:rPr>
          <w:sz w:val="20"/>
          <w:szCs w:val="20"/>
          <w:color w:val="auto"/>
        </w:rPr>
      </w:pPr>
      <w:r>
        <w:rPr>
          <w:rFonts w:ascii="Times New Roman" w:cs="Times New Roman" w:eastAsia="Times New Roman" w:hAnsi="Times New Roman"/>
          <w:sz w:val="14"/>
          <w:szCs w:val="14"/>
          <w:color w:val="auto"/>
        </w:rPr>
        <w:t>The Subsidiary Guarantee will provide that the Subsidiary Guarantor will not consolidate with or merge with or into any other person or convey, transfer or lease its assets substantially as an entirety to any person, and the Subsidiary Guarantor will not permit any person to consolidate with or merge with or into the Subsidiary Guarantor, unless:</w:t>
      </w:r>
    </w:p>
    <w:p>
      <w:pPr>
        <w:spacing w:after="0" w:line="54" w:lineRule="exact"/>
        <w:rPr>
          <w:sz w:val="20"/>
          <w:szCs w:val="20"/>
          <w:color w:val="auto"/>
        </w:rPr>
      </w:pPr>
    </w:p>
    <w:p>
      <w:pPr>
        <w:ind w:left="1780" w:hanging="147"/>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Subsidiary Guarantor or Principal is the surviving company in any merger or consolidation, or</w:t>
      </w:r>
    </w:p>
    <w:p>
      <w:pPr>
        <w:spacing w:after="0" w:line="19" w:lineRule="exact"/>
        <w:rPr>
          <w:rFonts w:ascii="Times New Roman" w:cs="Times New Roman" w:eastAsia="Times New Roman" w:hAnsi="Times New Roman"/>
          <w:sz w:val="14"/>
          <w:szCs w:val="14"/>
          <w:color w:val="auto"/>
        </w:rPr>
      </w:pPr>
    </w:p>
    <w:p>
      <w:pPr>
        <w:ind w:left="1780" w:right="1539" w:hanging="8"/>
        <w:spacing w:after="0" w:line="248" w:lineRule="auto"/>
        <w:tabs>
          <w:tab w:leader="none" w:pos="1997"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Subsidiary Guarantor conveys, transfers or leases its assets substantially as an entirety to any person, the person to which such conveyance, transfer or lease is made is a corporation, partnership, trust or limited liability company organized and validly existing under the laws of the United States or any state thereof or the District of Columbia and expressly assumes all of the obligations of the Subsidiary Guarantor under the Senior Indenture and the Subsidiary Guarantee;</w:t>
      </w:r>
    </w:p>
    <w:p>
      <w:pPr>
        <w:spacing w:after="0" w:line="63" w:lineRule="exact"/>
        <w:rPr>
          <w:rFonts w:ascii="Times New Roman" w:cs="Times New Roman" w:eastAsia="Times New Roman" w:hAnsi="Times New Roman"/>
          <w:sz w:val="14"/>
          <w:szCs w:val="14"/>
          <w:color w:val="auto"/>
        </w:rPr>
      </w:pPr>
    </w:p>
    <w:p>
      <w:pPr>
        <w:ind w:left="1780" w:right="1379" w:hanging="147"/>
        <w:spacing w:after="0" w:line="261" w:lineRule="auto"/>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consolidation, merger, conveyance, transfer or lease, there exists no event of default, and no event which, after notice or lapse of time or both, would become an event of default; and</w:t>
      </w:r>
    </w:p>
    <w:p>
      <w:pPr>
        <w:spacing w:after="0" w:line="4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conditions described in the Subsidiary Guarantee are met.</w:t>
      </w:r>
    </w:p>
    <w:p>
      <w:pPr>
        <w:spacing w:after="0" w:line="118" w:lineRule="exact"/>
        <w:rPr>
          <w:sz w:val="20"/>
          <w:szCs w:val="20"/>
          <w:color w:val="auto"/>
        </w:rPr>
      </w:pPr>
    </w:p>
    <w:p>
      <w:pPr>
        <w:ind w:left="1360" w:right="1479" w:firstLine="276"/>
        <w:spacing w:after="0"/>
        <w:rPr>
          <w:sz w:val="20"/>
          <w:szCs w:val="20"/>
          <w:color w:val="auto"/>
        </w:rPr>
      </w:pPr>
      <w:r>
        <w:rPr>
          <w:rFonts w:ascii="Times New Roman" w:cs="Times New Roman" w:eastAsia="Times New Roman" w:hAnsi="Times New Roman"/>
          <w:sz w:val="14"/>
          <w:szCs w:val="14"/>
          <w:color w:val="auto"/>
        </w:rPr>
        <w:t xml:space="preserve">The Subsidiary Guarantee will provide that, upon any consolidation of the Subsidiary Guarantor with, or merger of the Subsidiary Guarantor into, Principal, the guarantee will terminate on the effective date of such consolidation or merger. The Subsidiary Guarantee will further provide that upon any conveyance, transfer or lease of the assets of the Subsidiary Guarantor substantially as an entirety to any person, the successor person to which such conveyance, transfer or lease is made shall succeed to, and may exercise every right and power of, the Subsidiary Guarantor under the Subsidiary Guarantee with the same effect as if such successor person had been named as the Subsidiary Guarantor;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Subsidiary Guarantor shall not be relieved of its obligations and covenants under the Subsidiary Guarantee.</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This covenant would not apply to the direct or indirect conveyance, transfer or lease of all or any</w:t>
      </w:r>
    </w:p>
    <w:p>
      <w:pPr>
        <w:spacing w:after="0" w:line="20" w:lineRule="exact"/>
        <w:rPr>
          <w:sz w:val="20"/>
          <w:szCs w:val="20"/>
          <w:color w:val="auto"/>
        </w:rPr>
      </w:pPr>
    </w:p>
    <w:p>
      <w:pPr>
        <w:ind w:left="1360" w:right="1419"/>
        <w:spacing w:after="0" w:line="236" w:lineRule="auto"/>
        <w:rPr>
          <w:sz w:val="20"/>
          <w:szCs w:val="20"/>
          <w:color w:val="auto"/>
        </w:rPr>
      </w:pPr>
      <w:r>
        <w:rPr>
          <w:rFonts w:ascii="Times New Roman" w:cs="Times New Roman" w:eastAsia="Times New Roman" w:hAnsi="Times New Roman"/>
          <w:sz w:val="14"/>
          <w:szCs w:val="14"/>
          <w:color w:val="auto"/>
        </w:rPr>
        <w:t>portion of the stock, assets or liabilities of any of the Subsidiary Guarantor’s wholly owned subsidiaries to the Subsidiary Guarantor, to Principal or to other wholly owned subsidiaries of the Subsidiary Guarantor. In addition, this covenant would not apply to any recapitalization transaction, highly leveraged transaction or change of control of the Subsidiary Guarantor unless such transaction or change of control were structured to include a merger or consolidation by the Subsidiary Guarantor or the conveyance, transfer or lease of the Subsidiary Guarantor’s assets substantially as an entirety.</w:t>
      </w:r>
    </w:p>
    <w:p>
      <w:pPr>
        <w:spacing w:after="0" w:line="1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Interest; Maturity</w:t>
      </w:r>
    </w:p>
    <w:p>
      <w:pPr>
        <w:spacing w:after="0" w:line="1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Each Note will bear interest from June 1, 2026, payable semiannually on January 15 and July 15 of</w:t>
      </w:r>
    </w:p>
    <w:p>
      <w:pPr>
        <w:spacing w:after="0" w:line="20" w:lineRule="exact"/>
        <w:rPr>
          <w:sz w:val="20"/>
          <w:szCs w:val="20"/>
          <w:color w:val="auto"/>
        </w:rPr>
      </w:pPr>
    </w:p>
    <w:p>
      <w:pPr>
        <w:ind w:left="1360" w:right="1379"/>
        <w:spacing w:after="0" w:line="236" w:lineRule="auto"/>
        <w:rPr>
          <w:sz w:val="20"/>
          <w:szCs w:val="20"/>
          <w:color w:val="auto"/>
        </w:rPr>
      </w:pPr>
      <w:r>
        <w:rPr>
          <w:rFonts w:ascii="Times New Roman" w:cs="Times New Roman" w:eastAsia="Times New Roman" w:hAnsi="Times New Roman"/>
          <w:sz w:val="14"/>
          <w:szCs w:val="14"/>
          <w:color w:val="auto"/>
        </w:rPr>
        <w:t>each year, beginning January 15, 2027, to the person in whose name the Note is registered, subject to certain exceptions as provided in the Senior Indenture, at the close of business on January 1 or July 1, as the case may be, immediately preceding such January 15 and July 15. The Notes will bear interest at a rate of</w:t>
      </w:r>
    </w:p>
    <w:p>
      <w:pPr>
        <w:spacing w:after="0" w:line="1" w:lineRule="exact"/>
        <w:rPr>
          <w:sz w:val="20"/>
          <w:szCs w:val="20"/>
          <w:color w:val="auto"/>
        </w:rPr>
      </w:pPr>
    </w:p>
    <w:p>
      <w:pPr>
        <w:ind w:left="1360" w:right="1439"/>
        <w:spacing w:after="0" w:line="239" w:lineRule="auto"/>
        <w:rPr>
          <w:sz w:val="20"/>
          <w:szCs w:val="20"/>
          <w:color w:val="auto"/>
        </w:rPr>
      </w:pPr>
      <w:r>
        <w:rPr>
          <w:rFonts w:ascii="Times New Roman" w:cs="Times New Roman" w:eastAsia="Times New Roman" w:hAnsi="Times New Roman"/>
          <w:sz w:val="14"/>
          <w:szCs w:val="14"/>
          <w:color w:val="auto"/>
        </w:rPr>
        <w:t>5.300% per year. The Notes will mature on January 15, 2037. Interest on the Notes will be computed on the basis of a 360-day year comprised of twelve 30-day months.</w:t>
      </w:r>
    </w:p>
    <w:p>
      <w:pPr>
        <w:spacing w:after="0" w:line="88" w:lineRule="exact"/>
        <w:rPr>
          <w:sz w:val="20"/>
          <w:szCs w:val="20"/>
          <w:color w:val="auto"/>
        </w:rPr>
      </w:pPr>
    </w:p>
    <w:p>
      <w:pPr>
        <w:ind w:left="1360" w:right="1559" w:firstLine="276"/>
        <w:spacing w:after="0" w:line="261" w:lineRule="auto"/>
        <w:rPr>
          <w:sz w:val="20"/>
          <w:szCs w:val="20"/>
          <w:color w:val="auto"/>
        </w:rPr>
      </w:pPr>
      <w:r>
        <w:rPr>
          <w:rFonts w:ascii="Times New Roman" w:cs="Times New Roman" w:eastAsia="Times New Roman" w:hAnsi="Times New Roman"/>
          <w:sz w:val="14"/>
          <w:szCs w:val="14"/>
          <w:color w:val="auto"/>
        </w:rPr>
        <w:t>If any interest payment date or maturity date falls on a day that is not a business day, the required payment shall be made on the next business day as if it were made on the date such payment was due and</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399"/>
        <w:spacing w:after="0" w:line="276" w:lineRule="auto"/>
        <w:rPr>
          <w:sz w:val="20"/>
          <w:szCs w:val="20"/>
          <w:color w:val="auto"/>
        </w:rPr>
      </w:pPr>
      <w:r>
        <w:rPr>
          <w:rFonts w:ascii="Times New Roman" w:cs="Times New Roman" w:eastAsia="Times New Roman" w:hAnsi="Times New Roman"/>
          <w:sz w:val="14"/>
          <w:szCs w:val="14"/>
          <w:color w:val="auto"/>
        </w:rPr>
        <w:t>no interest shall accrue on the amount so payable for the period from and after such interest payment date or maturity date, as the case may be.</w:t>
      </w:r>
    </w:p>
    <w:p>
      <w:pPr>
        <w:spacing w:after="0" w:line="1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Optional Redemption; No Sinking Fund</w:t>
      </w:r>
    </w:p>
    <w:p>
      <w:pPr>
        <w:spacing w:after="0" w:line="120" w:lineRule="exact"/>
        <w:rPr>
          <w:sz w:val="20"/>
          <w:szCs w:val="20"/>
          <w:color w:val="auto"/>
        </w:rPr>
      </w:pPr>
    </w:p>
    <w:p>
      <w:pPr>
        <w:ind w:left="1360" w:right="1379" w:firstLine="276"/>
        <w:spacing w:after="0" w:line="246" w:lineRule="auto"/>
        <w:rPr>
          <w:sz w:val="20"/>
          <w:szCs w:val="20"/>
          <w:color w:val="auto"/>
        </w:rPr>
      </w:pPr>
      <w:r>
        <w:rPr>
          <w:rFonts w:ascii="Times New Roman" w:cs="Times New Roman" w:eastAsia="Times New Roman" w:hAnsi="Times New Roman"/>
          <w:sz w:val="14"/>
          <w:szCs w:val="14"/>
          <w:color w:val="auto"/>
        </w:rPr>
        <w:t>Prior to October 15, 2036 (three months prior to the maturity 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85" w:lineRule="exact"/>
        <w:rPr>
          <w:sz w:val="20"/>
          <w:szCs w:val="20"/>
          <w:color w:val="auto"/>
        </w:rPr>
      </w:pPr>
    </w:p>
    <w:p>
      <w:pPr>
        <w:ind w:left="1900" w:right="1439" w:hanging="267"/>
        <w:spacing w:after="0" w:line="254" w:lineRule="auto"/>
        <w:tabs>
          <w:tab w:leader="none" w:pos="1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on the Notes to be redeemed discounted to the redemption date (assuming the Notes matured on the Par Call Date) on a semi-annual basis (assuming a 360-day year consisting of twelve 30-</w:t>
      </w:r>
    </w:p>
    <w:p>
      <w:pPr>
        <w:spacing w:after="0" w:line="1" w:lineRule="exact"/>
        <w:rPr>
          <w:rFonts w:ascii="Times New Roman" w:cs="Times New Roman" w:eastAsia="Times New Roman" w:hAnsi="Times New Roman"/>
          <w:sz w:val="14"/>
          <w:szCs w:val="14"/>
          <w:color w:val="auto"/>
        </w:rPr>
      </w:pPr>
    </w:p>
    <w:p>
      <w:pPr>
        <w:ind w:left="1900" w:right="151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 months) at the Treasury Rate plus 15 basis points, less (b) interest accrued to the redemption date, and</w:t>
      </w:r>
    </w:p>
    <w:p>
      <w:pPr>
        <w:spacing w:after="0" w:line="79" w:lineRule="exact"/>
        <w:rPr>
          <w:rFonts w:ascii="Times New Roman" w:cs="Times New Roman" w:eastAsia="Times New Roman" w:hAnsi="Times New Roman"/>
          <w:sz w:val="14"/>
          <w:szCs w:val="14"/>
          <w:color w:val="auto"/>
        </w:rPr>
      </w:pPr>
    </w:p>
    <w:p>
      <w:pPr>
        <w:ind w:left="1900" w:hanging="267"/>
        <w:spacing w:after="0"/>
        <w:tabs>
          <w:tab w:leader="none" w:pos="19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Notes to be redeemed,</w:t>
      </w:r>
    </w:p>
    <w:p>
      <w:pPr>
        <w:spacing w:after="0" w:line="1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to, but excluding, the redemption date.</w:t>
      </w:r>
    </w:p>
    <w:p>
      <w:pPr>
        <w:spacing w:after="0" w:line="108" w:lineRule="exact"/>
        <w:rPr>
          <w:sz w:val="20"/>
          <w:szCs w:val="20"/>
          <w:color w:val="auto"/>
        </w:rPr>
      </w:pPr>
    </w:p>
    <w:p>
      <w:pPr>
        <w:ind w:left="1360" w:right="1519" w:firstLine="276"/>
        <w:spacing w:after="0" w:line="254" w:lineRule="auto"/>
        <w:rPr>
          <w:sz w:val="20"/>
          <w:szCs w:val="20"/>
          <w:color w:val="auto"/>
        </w:rPr>
      </w:pPr>
      <w:r>
        <w:rPr>
          <w:rFonts w:ascii="Times New Roman" w:cs="Times New Roman" w:eastAsia="Times New Roman" w:hAnsi="Times New Roman"/>
          <w:sz w:val="14"/>
          <w:szCs w:val="14"/>
          <w:color w:val="auto"/>
        </w:rPr>
        <w:t>On or after the Par Call Date, we may redeem the Notes at our option, in whole or in part, at any time and from time to time, at a redemption price equal to 100% of the principal amount of the Notes to be redeemed, plus accrued and unpaid interest thereon to, but excluding, the redemption date.</w:t>
      </w:r>
    </w:p>
    <w:p>
      <w:pPr>
        <w:spacing w:after="0" w:line="79" w:lineRule="exact"/>
        <w:rPr>
          <w:sz w:val="20"/>
          <w:szCs w:val="20"/>
          <w:color w:val="auto"/>
        </w:rPr>
      </w:pPr>
    </w:p>
    <w:p>
      <w:pPr>
        <w:ind w:left="1360" w:right="1459" w:firstLine="276"/>
        <w:spacing w:after="0" w:line="261" w:lineRule="auto"/>
        <w:rPr>
          <w:sz w:val="20"/>
          <w:szCs w:val="20"/>
          <w:color w:val="auto"/>
        </w:rPr>
      </w:pPr>
      <w:r>
        <w:rPr>
          <w:rFonts w:ascii="Times New Roman" w:cs="Times New Roman" w:eastAsia="Times New Roman" w:hAnsi="Times New Roman"/>
          <w:sz w:val="14"/>
          <w:szCs w:val="14"/>
          <w:color w:val="auto"/>
        </w:rPr>
        <w:t>“Treasury Rate” means, with respect to any redemption date, the yield determined by us in accordance with the following two paragraphs.</w:t>
      </w:r>
    </w:p>
    <w:p>
      <w:pPr>
        <w:spacing w:after="0" w:line="74" w:lineRule="exact"/>
        <w:rPr>
          <w:sz w:val="20"/>
          <w:szCs w:val="20"/>
          <w:color w:val="auto"/>
        </w:rPr>
      </w:pPr>
    </w:p>
    <w:p>
      <w:pPr>
        <w:ind w:left="1360" w:right="1379" w:firstLine="276"/>
        <w:spacing w:after="0"/>
        <w:rPr>
          <w:sz w:val="20"/>
          <w:szCs w:val="20"/>
          <w:color w:val="auto"/>
        </w:rPr>
      </w:pPr>
      <w:r>
        <w:rPr>
          <w:rFonts w:ascii="Times New Roman" w:cs="Times New Roman" w:eastAsia="Times New Roman" w:hAnsi="Times New Roman"/>
          <w:sz w:val="14"/>
          <w:szCs w:val="14"/>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(2) if there is no such Treasury constant maturity on H.15 exactly equal to the Remaining Life, the two yields — one yield corresponding to the Treasury constant maturity on H.15 immediately shorter than the Remaining Life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28" w:lineRule="exact"/>
        <w:rPr>
          <w:sz w:val="20"/>
          <w:szCs w:val="20"/>
          <w:color w:val="auto"/>
        </w:rPr>
      </w:pPr>
    </w:p>
    <w:p>
      <w:pPr>
        <w:ind w:left="1360" w:right="1399" w:firstLine="276"/>
        <w:spacing w:after="0"/>
        <w:rPr>
          <w:sz w:val="20"/>
          <w:szCs w:val="20"/>
          <w:color w:val="auto"/>
        </w:rPr>
      </w:pPr>
      <w:r>
        <w:rPr>
          <w:rFonts w:ascii="Times New Roman" w:cs="Times New Roman" w:eastAsia="Times New Roman" w:hAnsi="Times New Roman"/>
          <w:sz w:val="14"/>
          <w:szCs w:val="14"/>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19"/>
        <w:spacing w:after="0" w:line="255" w:lineRule="auto"/>
        <w:rPr>
          <w:sz w:val="20"/>
          <w:szCs w:val="20"/>
          <w:color w:val="auto"/>
        </w:rPr>
      </w:pPr>
      <w:r>
        <w:rPr>
          <w:rFonts w:ascii="Times New Roman" w:cs="Times New Roman" w:eastAsia="Times New Roman" w:hAnsi="Times New Roman"/>
          <w:sz w:val="14"/>
          <w:szCs w:val="14"/>
          <w:color w:val="auto"/>
        </w:rPr>
        <w:t>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58" w:lineRule="exact"/>
        <w:rPr>
          <w:sz w:val="20"/>
          <w:szCs w:val="20"/>
          <w:color w:val="auto"/>
        </w:rPr>
      </w:pPr>
    </w:p>
    <w:p>
      <w:pPr>
        <w:ind w:left="1360" w:right="1399" w:firstLine="276"/>
        <w:spacing w:after="0" w:line="276" w:lineRule="auto"/>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w:t>
      </w:r>
    </w:p>
    <w:p>
      <w:pPr>
        <w:spacing w:after="0" w:line="75" w:lineRule="exact"/>
        <w:rPr>
          <w:sz w:val="20"/>
          <w:szCs w:val="20"/>
          <w:color w:val="auto"/>
        </w:rPr>
      </w:pPr>
    </w:p>
    <w:p>
      <w:pPr>
        <w:ind w:left="1360" w:right="1839" w:firstLine="276"/>
        <w:spacing w:after="0" w:line="261"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75" w:lineRule="exact"/>
        <w:rPr>
          <w:sz w:val="20"/>
          <w:szCs w:val="20"/>
          <w:color w:val="auto"/>
        </w:rPr>
      </w:pPr>
    </w:p>
    <w:p>
      <w:pPr>
        <w:ind w:left="1360" w:right="1399" w:firstLine="276"/>
        <w:spacing w:after="0" w:line="251" w:lineRule="auto"/>
        <w:rPr>
          <w:sz w:val="20"/>
          <w:szCs w:val="20"/>
          <w:color w:val="auto"/>
        </w:rPr>
      </w:pPr>
      <w:r>
        <w:rPr>
          <w:rFonts w:ascii="Times New Roman" w:cs="Times New Roman" w:eastAsia="Times New Roman" w:hAnsi="Times New Roman"/>
          <w:sz w:val="14"/>
          <w:szCs w:val="14"/>
          <w:color w:val="auto"/>
        </w:rPr>
        <w:t>In the case of a partial redemption, selection of the Notes for redemption will be made by lot. The Notes may be redeemed in part in multiples equal to not less than $2,000 and integral multiples of $1,000 in excess thereof.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260" w:lineRule="exact"/>
        <w:rPr>
          <w:sz w:val="20"/>
          <w:szCs w:val="20"/>
          <w:color w:val="auto"/>
        </w:rPr>
      </w:pPr>
    </w:p>
    <w:p>
      <w:pPr>
        <w:ind w:left="1360" w:right="1559" w:firstLine="276"/>
        <w:spacing w:after="0" w:line="276" w:lineRule="auto"/>
        <w:rPr>
          <w:sz w:val="20"/>
          <w:szCs w:val="20"/>
          <w:color w:val="auto"/>
        </w:rPr>
      </w:pPr>
      <w:r>
        <w:rPr>
          <w:rFonts w:ascii="Times New Roman" w:cs="Times New Roman" w:eastAsia="Times New Roman" w:hAnsi="Times New Roman"/>
          <w:sz w:val="14"/>
          <w:szCs w:val="14"/>
          <w:color w:val="auto"/>
        </w:rPr>
        <w:t>Unless we default in payment of the redemption price, on and after the redemption date, interest will cease to accrue on the Notes or portions thereof called for redemption.</w:t>
      </w:r>
    </w:p>
    <w:p>
      <w:pPr>
        <w:spacing w:after="0" w:line="7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Notes will not be subject to any sinking fund provision.</w:t>
      </w:r>
    </w:p>
    <w:p>
      <w:pPr>
        <w:spacing w:after="0" w:line="1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Defeasance and Covenant Defeasance</w:t>
      </w:r>
    </w:p>
    <w:p>
      <w:pPr>
        <w:spacing w:after="0" w:line="110" w:lineRule="exact"/>
        <w:rPr>
          <w:sz w:val="20"/>
          <w:szCs w:val="20"/>
          <w:color w:val="auto"/>
        </w:rPr>
      </w:pPr>
    </w:p>
    <w:p>
      <w:pPr>
        <w:ind w:left="1360" w:right="1419" w:firstLine="276"/>
        <w:spacing w:after="0" w:line="251" w:lineRule="auto"/>
        <w:rPr>
          <w:sz w:val="20"/>
          <w:szCs w:val="20"/>
          <w:color w:val="auto"/>
        </w:rPr>
      </w:pPr>
      <w:r>
        <w:rPr>
          <w:rFonts w:ascii="Times New Roman" w:cs="Times New Roman" w:eastAsia="Times New Roman" w:hAnsi="Times New Roman"/>
          <w:sz w:val="14"/>
          <w:szCs w:val="14"/>
          <w:color w:val="auto"/>
        </w:rPr>
        <w:t>The Senior Indenture provides that we may discharge all of our obligations, other than as to transfers and exchanges and certain other specified obligations, under the Notes at any time, and that we may also be released from our obligations described under “Description of Debt Securities — Limitations upon Liens” and “— Consolidation, Merger and Sale of Assets” in the accompanying prospectus, and from certain other obligations imposed by the supplemental indenture with respect to such Notes, and elect not to comply with those sections and obligations without creating an event of default. Discharge under the first procedure is called “defeasance” and under the second procedure is called “covenant defeasance.”</w:t>
      </w:r>
    </w:p>
    <w:p>
      <w:pPr>
        <w:spacing w:after="0" w:line="9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Defeasance or covenant defeasance may be effected only if:</w:t>
      </w:r>
    </w:p>
    <w:p>
      <w:pPr>
        <w:spacing w:after="0" w:line="87" w:lineRule="exact"/>
        <w:rPr>
          <w:sz w:val="20"/>
          <w:szCs w:val="20"/>
          <w:color w:val="auto"/>
        </w:rPr>
      </w:pPr>
    </w:p>
    <w:p>
      <w:pPr>
        <w:ind w:left="1780" w:right="1379" w:hanging="147"/>
        <w:spacing w:after="0" w:line="261"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irrevocably deposit with the trustee money or U.S. government obligations or a combination thereof, as trust funds in an amount sufficient to pay, on the respective stated maturities, the principal of and any premium and interest on the Notes;</w:t>
      </w:r>
    </w:p>
    <w:p>
      <w:pPr>
        <w:spacing w:after="0" w:line="54" w:lineRule="exact"/>
        <w:rPr>
          <w:rFonts w:ascii="Times New Roman" w:cs="Times New Roman" w:eastAsia="Times New Roman" w:hAnsi="Times New Roman"/>
          <w:sz w:val="14"/>
          <w:szCs w:val="14"/>
          <w:color w:val="auto"/>
        </w:rPr>
      </w:pPr>
    </w:p>
    <w:p>
      <w:pPr>
        <w:ind w:left="1780" w:right="1419" w:hanging="147"/>
        <w:spacing w:after="0" w:line="251"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an opinion of counsel to the effect that the holders of the Notes will not recognize gain or loss for U.S. federal income tax purposes as a result of the deposit, defeasance and discharge or the deposit and covenant defeasance to be effected with respect to the Notes and will be subject to U.S. federal income tax on the same amount, in the same manner and at the same times as would be the case if such deposit, defeasance and discharge or such deposit and covenant defeasance were not to occur, and, in the case of a defeasance, this opinion must be based on a ruling we have received from, or that has been published by, the Internal Revenue Service or a change in applicable U.S. federal income tax law occurring after the date of execution of the Senior Indenture;</w:t>
      </w:r>
    </w:p>
    <w:p>
      <w:pPr>
        <w:spacing w:after="0" w:line="60"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under the Senior Indenture has occurred and is continuing;</w:t>
      </w:r>
    </w:p>
    <w:p>
      <w:pPr>
        <w:spacing w:after="0" w:line="87" w:lineRule="exact"/>
        <w:rPr>
          <w:rFonts w:ascii="Times New Roman" w:cs="Times New Roman" w:eastAsia="Times New Roman" w:hAnsi="Times New Roman"/>
          <w:sz w:val="14"/>
          <w:szCs w:val="14"/>
          <w:color w:val="auto"/>
        </w:rPr>
      </w:pPr>
    </w:p>
    <w:p>
      <w:pPr>
        <w:ind w:left="1780" w:right="1399" w:hanging="147"/>
        <w:spacing w:after="0" w:line="261"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or covenant defeasance does not result in a breach or violation of, or constitute a default under, any indenture or other agreement or instrument for borrowed money to which we are a party or by which we are bound;</w:t>
      </w:r>
    </w:p>
    <w:p>
      <w:pPr>
        <w:spacing w:after="0" w:line="54" w:lineRule="exact"/>
        <w:rPr>
          <w:rFonts w:ascii="Times New Roman" w:cs="Times New Roman" w:eastAsia="Times New Roman" w:hAnsi="Times New Roman"/>
          <w:sz w:val="14"/>
          <w:szCs w:val="14"/>
          <w:color w:val="auto"/>
        </w:rPr>
      </w:pPr>
    </w:p>
    <w:p>
      <w:pPr>
        <w:ind w:left="1780" w:right="1639" w:hanging="147"/>
        <w:spacing w:after="0" w:line="276" w:lineRule="auto"/>
        <w:tabs>
          <w:tab w:leader="none" w:pos="17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or covenant defeasance does not result in the trust arising from such deposit constituting an investment company within the meaning of the Investment Company Act of 1940</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 w:name="page18"/>
    <w:bookmarkEnd w:id="1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80" w:right="1679"/>
        <w:spacing w:after="0" w:line="276" w:lineRule="auto"/>
        <w:rPr>
          <w:sz w:val="20"/>
          <w:szCs w:val="20"/>
          <w:color w:val="auto"/>
        </w:rPr>
      </w:pPr>
      <w:r>
        <w:rPr>
          <w:rFonts w:ascii="Times New Roman" w:cs="Times New Roman" w:eastAsia="Times New Roman" w:hAnsi="Times New Roman"/>
          <w:sz w:val="14"/>
          <w:szCs w:val="14"/>
          <w:color w:val="auto"/>
        </w:rPr>
        <w:t>unless such trust shall be registered under the Investment Company Act of 1940 or exempt from registration thereunder;</w:t>
      </w:r>
    </w:p>
    <w:p>
      <w:pPr>
        <w:spacing w:after="0" w:line="33" w:lineRule="exact"/>
        <w:rPr>
          <w:sz w:val="20"/>
          <w:szCs w:val="20"/>
          <w:color w:val="auto"/>
        </w:rPr>
      </w:pPr>
    </w:p>
    <w:p>
      <w:pPr>
        <w:ind w:left="1780" w:right="1619" w:hanging="147"/>
        <w:spacing w:after="0" w:line="261" w:lineRule="auto"/>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an officers’ certificate and an opinion of counsel, each stating that all conditions precedent with respect to such defeasance or covenant defeasance have been complied with; and</w:t>
      </w:r>
    </w:p>
    <w:p>
      <w:pPr>
        <w:spacing w:after="0" w:line="4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conditions specified in the Senior Indenture are met.</w:t>
      </w:r>
    </w:p>
    <w:p>
      <w:pPr>
        <w:spacing w:after="0" w:line="1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0" w:lineRule="exact"/>
        <w:rPr>
          <w:sz w:val="20"/>
          <w:szCs w:val="20"/>
          <w:color w:val="auto"/>
        </w:rPr>
      </w:pPr>
    </w:p>
    <w:p>
      <w:pPr>
        <w:ind w:left="1360" w:right="1719" w:firstLine="276"/>
        <w:spacing w:after="0" w:line="254" w:lineRule="auto"/>
        <w:rPr>
          <w:sz w:val="20"/>
          <w:szCs w:val="20"/>
          <w:color w:val="auto"/>
        </w:rPr>
      </w:pPr>
      <w:r>
        <w:rPr>
          <w:rFonts w:ascii="Times New Roman" w:cs="Times New Roman" w:eastAsia="Times New Roman" w:hAnsi="Times New Roman"/>
          <w:sz w:val="14"/>
          <w:szCs w:val="14"/>
          <w:color w:val="auto"/>
        </w:rPr>
        <w:t>In addition to the events of default set forth under “Description of Debt Securities — Events of Default” in the accompanying prospectus, each of the following will also constitute an event of default under the Notes:</w:t>
      </w:r>
    </w:p>
    <w:p>
      <w:pPr>
        <w:spacing w:after="0" w:line="48" w:lineRule="exact"/>
        <w:rPr>
          <w:sz w:val="20"/>
          <w:szCs w:val="20"/>
          <w:color w:val="auto"/>
        </w:rPr>
      </w:pPr>
    </w:p>
    <w:p>
      <w:pPr>
        <w:ind w:left="1780" w:right="1579" w:hanging="147"/>
        <w:spacing w:after="0" w:line="276"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for 30 days in the payment of any interest on the Notes under the Subsidiary Guarantee by the Subsidiary Guarantor;</w:t>
      </w:r>
    </w:p>
    <w:p>
      <w:pPr>
        <w:spacing w:after="0" w:line="43" w:lineRule="exact"/>
        <w:rPr>
          <w:rFonts w:ascii="Times New Roman" w:cs="Times New Roman" w:eastAsia="Times New Roman" w:hAnsi="Times New Roman"/>
          <w:sz w:val="14"/>
          <w:szCs w:val="14"/>
          <w:color w:val="auto"/>
        </w:rPr>
      </w:pPr>
    </w:p>
    <w:p>
      <w:pPr>
        <w:ind w:left="1780" w:right="1479" w:hanging="147"/>
        <w:spacing w:after="0" w:line="276"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the Notes, or premium, if any, when due under the Subsidiary Guarantee by the Subsidiary Guarantor;</w:t>
      </w:r>
    </w:p>
    <w:p>
      <w:pPr>
        <w:spacing w:after="0" w:line="43" w:lineRule="exact"/>
        <w:rPr>
          <w:rFonts w:ascii="Times New Roman" w:cs="Times New Roman" w:eastAsia="Times New Roman" w:hAnsi="Times New Roman"/>
          <w:sz w:val="14"/>
          <w:szCs w:val="14"/>
          <w:color w:val="auto"/>
        </w:rPr>
      </w:pPr>
    </w:p>
    <w:p>
      <w:pPr>
        <w:ind w:left="1780" w:right="1399" w:hanging="147"/>
        <w:spacing w:after="0" w:line="252"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of the Guarantor in the Senior Indenture or the Subsidiary Guarantee (other than a covenant or warranty a default in the performance of which is specifically described elsewhere in this “— Events of Default” section) and continuance of such default or breach for a period of 90 days after written notice to the Subsidiary Guarantor by the trustee or to the Subsidiary Guarantor and the trustee by the holders of at least 25% in aggregate principal amount of the Notes;</w:t>
      </w:r>
    </w:p>
    <w:p>
      <w:pPr>
        <w:spacing w:after="0" w:line="51" w:lineRule="exact"/>
        <w:rPr>
          <w:rFonts w:ascii="Times New Roman" w:cs="Times New Roman" w:eastAsia="Times New Roman" w:hAnsi="Times New Roman"/>
          <w:sz w:val="14"/>
          <w:szCs w:val="14"/>
          <w:color w:val="auto"/>
        </w:rPr>
      </w:pPr>
    </w:p>
    <w:p>
      <w:pPr>
        <w:ind w:left="1780" w:right="2019" w:hanging="147"/>
        <w:spacing w:after="0" w:line="276"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reorganization or receivership with respect to the Subsidiary Guarantor; or</w:t>
      </w:r>
    </w:p>
    <w:p>
      <w:pPr>
        <w:spacing w:after="0" w:line="43" w:lineRule="exact"/>
        <w:rPr>
          <w:rFonts w:ascii="Times New Roman" w:cs="Times New Roman" w:eastAsia="Times New Roman" w:hAnsi="Times New Roman"/>
          <w:sz w:val="14"/>
          <w:szCs w:val="14"/>
          <w:color w:val="auto"/>
        </w:rPr>
      </w:pPr>
    </w:p>
    <w:p>
      <w:pPr>
        <w:ind w:left="1780" w:right="1759" w:hanging="147"/>
        <w:spacing w:after="0" w:line="261" w:lineRule="auto"/>
        <w:tabs>
          <w:tab w:leader="none" w:pos="17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Subsidiary Guarantee ceases to be in full force and effect (other than in accordance with its terms) or the Subsidiary Guarantor denies or disaffirms its obligations under the Subsidiary Guarantee.</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0" w:lineRule="exact"/>
        <w:rPr>
          <w:sz w:val="20"/>
          <w:szCs w:val="20"/>
          <w:color w:val="auto"/>
        </w:rPr>
      </w:pPr>
    </w:p>
    <w:p>
      <w:pPr>
        <w:ind w:left="1360" w:right="1399" w:firstLine="276"/>
        <w:spacing w:after="0" w:line="241" w:lineRule="auto"/>
        <w:rPr>
          <w:sz w:val="20"/>
          <w:szCs w:val="20"/>
          <w:color w:val="auto"/>
        </w:rPr>
      </w:pPr>
      <w:r>
        <w:rPr>
          <w:rFonts w:ascii="Times New Roman" w:cs="Times New Roman" w:eastAsia="Times New Roman" w:hAnsi="Times New Roman"/>
          <w:sz w:val="14"/>
          <w:szCs w:val="14"/>
          <w:color w:val="auto"/>
        </w:rPr>
        <w:t>The Notes will be issued in the form of one or more global securities that will be deposited with, or on behalf of, the depositary, The Depository Trust Company (“DTC” or the “depositary”). Interests in the global securities will be issued only in denominations of $2,000 or any multiple of $1,000 in excess thereof. Unless and until it is exchanged in whole or in part for Notes in definitive form, a global security may not be transferred except as a whole to a nominee of the depositary for the global security, or by a nominee of the depositary to the depositary or another nominee of the depositary, or by the depositary or any nominee to a successor depositary or a nominee of the successor depositary.</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Same-Day Settlement and Payment</w:t>
      </w:r>
    </w:p>
    <w:p>
      <w:pPr>
        <w:spacing w:after="0" w:line="120" w:lineRule="exact"/>
        <w:rPr>
          <w:sz w:val="20"/>
          <w:szCs w:val="20"/>
          <w:color w:val="auto"/>
        </w:rPr>
      </w:pPr>
    </w:p>
    <w:p>
      <w:pPr>
        <w:ind w:left="1360" w:right="1439" w:firstLine="276"/>
        <w:spacing w:after="0" w:line="246" w:lineRule="auto"/>
        <w:rPr>
          <w:sz w:val="20"/>
          <w:szCs w:val="20"/>
          <w:color w:val="auto"/>
        </w:rPr>
      </w:pPr>
      <w:r>
        <w:rPr>
          <w:rFonts w:ascii="Times New Roman" w:cs="Times New Roman" w:eastAsia="Times New Roman" w:hAnsi="Times New Roman"/>
          <w:sz w:val="14"/>
          <w:szCs w:val="14"/>
          <w:color w:val="auto"/>
        </w:rPr>
        <w:t>Settlement for the Notes will be made by the underwriters in immediately available funds. So long as the depositary continues to make same-day settlement available to us, all payments of principal and interest on the Notes will be made by us in immediately available funds.</w:t>
      </w:r>
    </w:p>
    <w:p>
      <w:pPr>
        <w:spacing w:after="0" w:line="85" w:lineRule="exact"/>
        <w:rPr>
          <w:sz w:val="20"/>
          <w:szCs w:val="20"/>
          <w:color w:val="auto"/>
        </w:rPr>
      </w:pPr>
    </w:p>
    <w:p>
      <w:pPr>
        <w:ind w:left="1360" w:right="1379" w:firstLine="276"/>
        <w:spacing w:after="0" w:line="254" w:lineRule="auto"/>
        <w:rPr>
          <w:sz w:val="20"/>
          <w:szCs w:val="20"/>
          <w:color w:val="auto"/>
        </w:rPr>
      </w:pPr>
      <w:r>
        <w:rPr>
          <w:rFonts w:ascii="Times New Roman" w:cs="Times New Roman" w:eastAsia="Times New Roman" w:hAnsi="Times New Roman"/>
          <w:sz w:val="14"/>
          <w:szCs w:val="14"/>
          <w:color w:val="auto"/>
        </w:rPr>
        <w:t>The depositary will facilitate same-day settlement for trading in the Notes until maturity, and secondary market trading activity in the Notes will therefore be required by the depositary to settle in immediately available funds.</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Book-Entry System</w:t>
      </w:r>
    </w:p>
    <w:p>
      <w:pPr>
        <w:spacing w:after="0" w:line="120" w:lineRule="exact"/>
        <w:rPr>
          <w:sz w:val="20"/>
          <w:szCs w:val="20"/>
          <w:color w:val="auto"/>
        </w:rPr>
      </w:pPr>
    </w:p>
    <w:p>
      <w:pPr>
        <w:ind w:left="1360" w:right="1419" w:firstLine="276"/>
        <w:spacing w:after="0" w:line="246" w:lineRule="auto"/>
        <w:rPr>
          <w:sz w:val="20"/>
          <w:szCs w:val="20"/>
          <w:color w:val="auto"/>
        </w:rPr>
      </w:pPr>
      <w:r>
        <w:rPr>
          <w:rFonts w:ascii="Times New Roman" w:cs="Times New Roman" w:eastAsia="Times New Roman" w:hAnsi="Times New Roman"/>
          <w:sz w:val="14"/>
          <w:szCs w:val="14"/>
          <w:color w:val="auto"/>
        </w:rPr>
        <w:t>Except under limited circumstances, Notes represented by a global security will not be exchangeable for, and will not otherwise be issuable as, Notes in certificated form. Investors may elect to hold interests in the global securities through either DTC (in the United States) or through Clearstream or Euroclear, if they are participants in such systems, or indirectly through organizations which are participants in such systems.</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399"/>
        <w:spacing w:after="0" w:line="254" w:lineRule="auto"/>
        <w:rPr>
          <w:sz w:val="20"/>
          <w:szCs w:val="20"/>
          <w:color w:val="auto"/>
        </w:rPr>
      </w:pPr>
      <w:r>
        <w:rPr>
          <w:rFonts w:ascii="Times New Roman" w:cs="Times New Roman" w:eastAsia="Times New Roman" w:hAnsi="Times New Roman"/>
          <w:sz w:val="14"/>
          <w:szCs w:val="14"/>
          <w:color w:val="auto"/>
        </w:rPr>
        <w:t>Clearstream and Euroclear will hold interests on behalf of their participants through customers’ securities accounts in Clearstream’s and Euroclear’s names on the books of their respective depositaries, which in turn will hold such interests in customers’ securities accounts in the depositaries’ names on the books of DTC.</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DTC</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DTC will act as securities depositary for the Notes. The Notes will be issued as fully</w:t>
      </w:r>
    </w:p>
    <w:p>
      <w:pPr>
        <w:spacing w:after="0" w:line="10" w:lineRule="exact"/>
        <w:rPr>
          <w:sz w:val="20"/>
          <w:szCs w:val="20"/>
          <w:color w:val="auto"/>
        </w:rPr>
      </w:pPr>
    </w:p>
    <w:p>
      <w:pPr>
        <w:ind w:left="1360" w:right="1439"/>
        <w:spacing w:after="0" w:line="252" w:lineRule="auto"/>
        <w:rPr>
          <w:sz w:val="20"/>
          <w:szCs w:val="20"/>
          <w:color w:val="auto"/>
        </w:rPr>
      </w:pPr>
      <w:r>
        <w:rPr>
          <w:rFonts w:ascii="Times New Roman" w:cs="Times New Roman" w:eastAsia="Times New Roman" w:hAnsi="Times New Roman"/>
          <w:sz w:val="14"/>
          <w:szCs w:val="14"/>
          <w:color w:val="auto"/>
        </w:rPr>
        <w:t>registered securities registered in the name of Cede &amp; Co. (DTC’s partnership nominee) or such other name as may be requested by an authorized representative of DTC.</w:t>
      </w:r>
    </w:p>
    <w:p>
      <w:pPr>
        <w:spacing w:after="0" w:line="81" w:lineRule="exact"/>
        <w:rPr>
          <w:sz w:val="20"/>
          <w:szCs w:val="20"/>
          <w:color w:val="auto"/>
        </w:rPr>
      </w:pPr>
    </w:p>
    <w:p>
      <w:pPr>
        <w:ind w:left="1360" w:right="1419" w:firstLine="276"/>
        <w:spacing w:after="0"/>
        <w:rPr>
          <w:sz w:val="20"/>
          <w:szCs w:val="20"/>
          <w:color w:val="auto"/>
        </w:rPr>
      </w:pPr>
      <w:r>
        <w:rPr>
          <w:rFonts w:ascii="Times New Roman" w:cs="Times New Roman" w:eastAsia="Times New Roman" w:hAnsi="Times New Roman"/>
          <w:sz w:val="14"/>
          <w:szCs w:val="14"/>
          <w:color w:val="auto"/>
        </w:rPr>
        <w:t>The depositary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pursuant to the provisions of Section 17A of the United States Securities Exchange Act of 1934, as amended. The depositary holds and provides asset servicing for securities that its participants (“Direct Participants”) deposit with the depositary.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Depositary Trust &amp; Clearing Corporation (“DTCC”). DTCC is a holding company for DTC, National Securities Clearing Corporation and Fixed Income Clearing Incorporation, all of which are registered clearing agencies. DTCC is owned by the users of its regulated subsidiaries. Access to the depositary’s book- entry system is also available to others such as U.S. and non-U.S. securities brokers and dealers, banks, trust companies and clearing corporations that clear through or maintain a custodial relationship with a Direct Participant, either directly or indirectly (“Indirect Participants”). The rules applicable to the depositary and its Direct and Indirect Participants are on file with the SEC.</w:t>
      </w:r>
    </w:p>
    <w:p>
      <w:pPr>
        <w:spacing w:after="0" w:line="224" w:lineRule="exact"/>
        <w:rPr>
          <w:sz w:val="20"/>
          <w:szCs w:val="20"/>
          <w:color w:val="auto"/>
        </w:rPr>
      </w:pPr>
    </w:p>
    <w:p>
      <w:pPr>
        <w:ind w:left="1360" w:right="1379" w:firstLine="276"/>
        <w:spacing w:after="0" w:line="241" w:lineRule="auto"/>
        <w:rPr>
          <w:sz w:val="20"/>
          <w:szCs w:val="20"/>
          <w:color w:val="auto"/>
        </w:rPr>
      </w:pPr>
      <w:r>
        <w:rPr>
          <w:rFonts w:ascii="Times New Roman" w:cs="Times New Roman" w:eastAsia="Times New Roman" w:hAnsi="Times New Roman"/>
          <w:sz w:val="14"/>
          <w:szCs w:val="14"/>
          <w:color w:val="auto"/>
        </w:rPr>
        <w:t>Purchases of the Notes under DTC’s system must be made by or through Direct Participants, which will receive a credit for the Notes on DTC’s records. The ownership interest of each actual purchaser of each Note (“Beneficial Owner”) is in turn to be recorded on the records of Direct Participants and Indirect Participants. Beneficial Owners will not receive written 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w:t>
      </w:r>
    </w:p>
    <w:p>
      <w:pPr>
        <w:spacing w:after="0" w:line="90" w:lineRule="exact"/>
        <w:rPr>
          <w:sz w:val="20"/>
          <w:szCs w:val="20"/>
          <w:color w:val="auto"/>
        </w:rPr>
      </w:pPr>
    </w:p>
    <w:p>
      <w:pPr>
        <w:ind w:left="1360" w:right="1479" w:firstLine="276"/>
        <w:spacing w:after="0" w:line="256" w:lineRule="auto"/>
        <w:rPr>
          <w:sz w:val="20"/>
          <w:szCs w:val="20"/>
          <w:color w:val="auto"/>
        </w:rPr>
      </w:pPr>
      <w:r>
        <w:rPr>
          <w:rFonts w:ascii="Times New Roman" w:cs="Times New Roman" w:eastAsia="Times New Roman" w:hAnsi="Times New Roman"/>
          <w:sz w:val="14"/>
          <w:szCs w:val="14"/>
          <w:color w:val="auto"/>
        </w:rPr>
        <w:t>Transfers of ownership interests in the Notes are to be accomplished by entries made on the books of Direct Participants and Indirect Participants acting on behalf of Beneficial Owners. Beneficial Owners will not receive certificates representing their ownership interests in the Notes, except in the limited circumstances that may be provided in the Senior Indenture.</w:t>
      </w:r>
    </w:p>
    <w:p>
      <w:pPr>
        <w:spacing w:after="0" w:line="89" w:lineRule="exact"/>
        <w:rPr>
          <w:sz w:val="20"/>
          <w:szCs w:val="20"/>
          <w:color w:val="auto"/>
        </w:rPr>
      </w:pPr>
    </w:p>
    <w:p>
      <w:pPr>
        <w:ind w:left="1360" w:right="1399" w:firstLine="276"/>
        <w:spacing w:after="0" w:line="251" w:lineRule="auto"/>
        <w:rPr>
          <w:sz w:val="20"/>
          <w:szCs w:val="20"/>
          <w:color w:val="auto"/>
        </w:rPr>
      </w:pPr>
      <w:r>
        <w:rPr>
          <w:rFonts w:ascii="Times New Roman" w:cs="Times New Roman" w:eastAsia="Times New Roman" w:hAnsi="Times New Roman"/>
          <w:sz w:val="14"/>
          <w:szCs w:val="14"/>
          <w:color w:val="auto"/>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such securities are credited, which may or may not be the Beneficial Owners. The Direct Participants and Indirect Participants will remain responsible for keeping account of their holdings on behalf of their customers.</w:t>
      </w:r>
    </w:p>
    <w:p>
      <w:pPr>
        <w:spacing w:after="0" w:line="81" w:lineRule="exact"/>
        <w:rPr>
          <w:sz w:val="20"/>
          <w:szCs w:val="20"/>
          <w:color w:val="auto"/>
        </w:rPr>
      </w:pPr>
    </w:p>
    <w:p>
      <w:pPr>
        <w:ind w:left="1360" w:right="1399" w:firstLine="276"/>
        <w:spacing w:after="0" w:line="256"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89" w:lineRule="exact"/>
        <w:rPr>
          <w:sz w:val="20"/>
          <w:szCs w:val="20"/>
          <w:color w:val="auto"/>
        </w:rPr>
      </w:pPr>
    </w:p>
    <w:p>
      <w:pPr>
        <w:ind w:left="1360" w:right="1639" w:firstLine="276"/>
        <w:spacing w:after="0" w:line="276" w:lineRule="auto"/>
        <w:rPr>
          <w:sz w:val="20"/>
          <w:szCs w:val="20"/>
          <w:color w:val="auto"/>
        </w:rPr>
      </w:pPr>
      <w:r>
        <w:rPr>
          <w:rFonts w:ascii="Times New Roman" w:cs="Times New Roman" w:eastAsia="Times New Roman" w:hAnsi="Times New Roman"/>
          <w:sz w:val="14"/>
          <w:szCs w:val="14"/>
          <w:color w:val="auto"/>
        </w:rPr>
        <w:t>Neither DTC nor Cede &amp; Co. (nor any other DTC nominee) will consent or vote with respect to the Notes unless authorized by a Direct Participant in accordance with DTC’s MMI Procedures. Under its</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196850</wp:posOffset>
            </wp:positionV>
            <wp:extent cx="52444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399"/>
        <w:spacing w:after="0" w:line="246" w:lineRule="auto"/>
        <w:rPr>
          <w:sz w:val="20"/>
          <w:szCs w:val="20"/>
          <w:color w:val="auto"/>
        </w:rPr>
      </w:pPr>
      <w:r>
        <w:rPr>
          <w:rFonts w:ascii="Times New Roman" w:cs="Times New Roman" w:eastAsia="Times New Roman" w:hAnsi="Times New Roman"/>
          <w:sz w:val="14"/>
          <w:szCs w:val="14"/>
          <w:color w:val="auto"/>
        </w:rPr>
        <w:t>usual procedures, DTC mails to us an Omnibus Proxy as soon as possible after the applicable record date. The Omnibus Proxy assigns Cede &amp; Co.’s consenting or voting rights to those Direct Participants to whose accounts securities are credited on the applicable record date (identified in a listing attached to the Omnibus Proxy).</w:t>
      </w:r>
    </w:p>
    <w:p>
      <w:pPr>
        <w:spacing w:after="0" w:line="85" w:lineRule="exact"/>
        <w:rPr>
          <w:sz w:val="20"/>
          <w:szCs w:val="20"/>
          <w:color w:val="auto"/>
        </w:rPr>
      </w:pPr>
    </w:p>
    <w:p>
      <w:pPr>
        <w:ind w:left="1360" w:right="1399" w:firstLine="276"/>
        <w:spacing w:after="0"/>
        <w:rPr>
          <w:sz w:val="20"/>
          <w:szCs w:val="20"/>
          <w:color w:val="auto"/>
        </w:rPr>
      </w:pPr>
      <w:r>
        <w:rPr>
          <w:rFonts w:ascii="Times New Roman" w:cs="Times New Roman" w:eastAsia="Times New Roman" w:hAnsi="Times New Roman"/>
          <w:sz w:val="14"/>
          <w:szCs w:val="14"/>
          <w:color w:val="auto"/>
        </w:rPr>
        <w:t>Payments on the Notes will be made to Cede &amp; Co., or such other nominee as may be requested by an authorized representative of DTC. DTC’s practice is to credit Direct Participants’ accounts upon DTC’s receipt of funds and corresponding detail information from us or the trustee, on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Any payment due to Cede &amp; Co. (or such other nominee as may be requested by an authorized representative of DTC) is our responsibility or the responsibility of the trustee, disbursement of such payments to Direct Participants will be the responsibility of DTC, and disbursement of such payments to the Beneficial Owners shall be the responsibility of Direct Participants and Indirect Participants.</w:t>
      </w:r>
    </w:p>
    <w:p>
      <w:pPr>
        <w:spacing w:after="0" w:line="248" w:lineRule="exact"/>
        <w:rPr>
          <w:sz w:val="20"/>
          <w:szCs w:val="20"/>
          <w:color w:val="auto"/>
        </w:rPr>
      </w:pPr>
    </w:p>
    <w:p>
      <w:pPr>
        <w:ind w:left="1360" w:right="1539" w:firstLine="276"/>
        <w:spacing w:after="0" w:line="246" w:lineRule="auto"/>
        <w:rPr>
          <w:sz w:val="20"/>
          <w:szCs w:val="20"/>
          <w:color w:val="auto"/>
        </w:rPr>
      </w:pPr>
      <w:r>
        <w:rPr>
          <w:rFonts w:ascii="Times New Roman" w:cs="Times New Roman" w:eastAsia="Times New Roman" w:hAnsi="Times New Roman"/>
          <w:sz w:val="14"/>
          <w:szCs w:val="14"/>
          <w:color w:val="auto"/>
        </w:rPr>
        <w:t>DTC may discontinue providing its services as depositary with respect to the Notes at any time by giving us or the applicable agent reasonable notice. Under such circumstances, in the event that we do not appoint a successor depositary for 90 days, we will issue individual debt securities in exchange for the global security.</w:t>
      </w:r>
    </w:p>
    <w:p>
      <w:pPr>
        <w:spacing w:after="0" w:line="85" w:lineRule="exact"/>
        <w:rPr>
          <w:sz w:val="20"/>
          <w:szCs w:val="20"/>
          <w:color w:val="auto"/>
        </w:rPr>
      </w:pPr>
    </w:p>
    <w:p>
      <w:pPr>
        <w:ind w:left="1360" w:right="1479" w:firstLine="276"/>
        <w:spacing w:after="0" w:line="254" w:lineRule="auto"/>
        <w:rPr>
          <w:sz w:val="20"/>
          <w:szCs w:val="20"/>
          <w:color w:val="auto"/>
        </w:rPr>
      </w:pPr>
      <w:r>
        <w:rPr>
          <w:rFonts w:ascii="Times New Roman" w:cs="Times New Roman" w:eastAsia="Times New Roman" w:hAnsi="Times New Roman"/>
          <w:sz w:val="14"/>
          <w:szCs w:val="14"/>
          <w:color w:val="auto"/>
        </w:rPr>
        <w:t>We may in our discretion decide to discontinue use of the system of book-entry-only transfers through DTC (or a successor depository) or determine not to have any debt securities represented by one or more global securities. In that event, we will issue individual debt securities in exchange for the global security.</w:t>
      </w:r>
    </w:p>
    <w:p>
      <w:pPr>
        <w:spacing w:after="0" w:line="69" w:lineRule="exact"/>
        <w:rPr>
          <w:sz w:val="20"/>
          <w:szCs w:val="20"/>
          <w:color w:val="auto"/>
        </w:rPr>
      </w:pPr>
    </w:p>
    <w:p>
      <w:pPr>
        <w:ind w:left="1360" w:right="1439" w:firstLine="276"/>
        <w:spacing w:after="0" w:line="276" w:lineRule="auto"/>
        <w:rPr>
          <w:sz w:val="20"/>
          <w:szCs w:val="20"/>
          <w:color w:val="auto"/>
        </w:rPr>
      </w:pPr>
      <w:r>
        <w:rPr>
          <w:rFonts w:ascii="Times New Roman" w:cs="Times New Roman" w:eastAsia="Times New Roman" w:hAnsi="Times New Roman"/>
          <w:sz w:val="14"/>
          <w:szCs w:val="14"/>
          <w:color w:val="auto"/>
        </w:rPr>
        <w:t>The information in this section concerning DTC and DTC’s book-entry system has been obtained from sources that we believe to be reliable, but we take no responsibility for the accuracy thereof.</w:t>
      </w:r>
    </w:p>
    <w:p>
      <w:pPr>
        <w:spacing w:after="0" w:line="1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Clearstream</w:t>
      </w:r>
    </w:p>
    <w:p>
      <w:pPr>
        <w:spacing w:after="0" w:line="120" w:lineRule="exact"/>
        <w:rPr>
          <w:sz w:val="20"/>
          <w:szCs w:val="20"/>
          <w:color w:val="auto"/>
        </w:rPr>
      </w:pPr>
    </w:p>
    <w:p>
      <w:pPr>
        <w:ind w:left="1360" w:right="1459" w:firstLine="276"/>
        <w:spacing w:after="0" w:line="249" w:lineRule="auto"/>
        <w:rPr>
          <w:sz w:val="20"/>
          <w:szCs w:val="20"/>
          <w:color w:val="auto"/>
        </w:rPr>
      </w:pPr>
      <w:r>
        <w:rPr>
          <w:rFonts w:ascii="Times New Roman" w:cs="Times New Roman" w:eastAsia="Times New Roman" w:hAnsi="Times New Roman"/>
          <w:sz w:val="14"/>
          <w:szCs w:val="14"/>
          <w:color w:val="auto"/>
        </w:rPr>
        <w:t xml:space="preserve">Clearstream Banking, S.A. (“Clearstream”) is incorporated under the laws of Luxembourg as a professional depositary. Clearstream holds securities for its participating organizations and facilitates the clearance and settlement of securities transactions between Clearstream participants through electronic book- entry transfers between the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through established depositary and custodial relationships. As a professional depositary, Clearstream is subject to regulation by the Luxembourg Commission for the Supervision of the Financial Sector (also known as the </w:t>
      </w:r>
      <w:r>
        <w:rPr>
          <w:rFonts w:ascii="Times New Roman" w:cs="Times New Roman" w:eastAsia="Times New Roman" w:hAnsi="Times New Roman"/>
          <w:sz w:val="14"/>
          <w:szCs w:val="14"/>
          <w:i w:val="1"/>
          <w:iCs w:val="1"/>
          <w:color w:val="auto"/>
        </w:rPr>
        <w:t>Commission de Surveillance du Secteur Financier</w:t>
      </w:r>
      <w:r>
        <w:rPr>
          <w:rFonts w:ascii="Times New Roman" w:cs="Times New Roman" w:eastAsia="Times New Roman" w:hAnsi="Times New Roman"/>
          <w:sz w:val="14"/>
          <w:szCs w:val="14"/>
          <w:color w:val="auto"/>
        </w:rPr>
        <w:t>). Clearstream participants include underwriters, securities brokers and dealers, banks, trust companies, clearing corporations and certain other organizations and may include the underwriters. Clearstream’s U.S.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w:t>
      </w:r>
    </w:p>
    <w:p>
      <w:pPr>
        <w:spacing w:after="0" w:line="82" w:lineRule="exact"/>
        <w:rPr>
          <w:sz w:val="20"/>
          <w:szCs w:val="20"/>
          <w:color w:val="auto"/>
        </w:rPr>
      </w:pPr>
    </w:p>
    <w:p>
      <w:pPr>
        <w:ind w:left="1360" w:right="1519" w:firstLine="276"/>
        <w:spacing w:after="0" w:line="261" w:lineRule="auto"/>
        <w:rPr>
          <w:sz w:val="20"/>
          <w:szCs w:val="20"/>
          <w:color w:val="auto"/>
        </w:rPr>
      </w:pPr>
      <w:r>
        <w:rPr>
          <w:rFonts w:ascii="Times New Roman" w:cs="Times New Roman" w:eastAsia="Times New Roman" w:hAnsi="Times New Roman"/>
          <w:sz w:val="14"/>
          <w:szCs w:val="14"/>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Euroclear</w:t>
      </w:r>
    </w:p>
    <w:p>
      <w:pPr>
        <w:spacing w:after="0" w:line="120" w:lineRule="exact"/>
        <w:rPr>
          <w:sz w:val="20"/>
          <w:szCs w:val="20"/>
          <w:color w:val="auto"/>
        </w:rPr>
      </w:pPr>
    </w:p>
    <w:p>
      <w:pPr>
        <w:ind w:left="1360" w:right="1579" w:firstLine="276"/>
        <w:spacing w:after="0" w:line="254" w:lineRule="auto"/>
        <w:rPr>
          <w:sz w:val="20"/>
          <w:szCs w:val="20"/>
          <w:color w:val="auto"/>
        </w:rPr>
      </w:pPr>
      <w:r>
        <w:rPr>
          <w:rFonts w:ascii="Times New Roman" w:cs="Times New Roman" w:eastAsia="Times New Roman" w:hAnsi="Times New Roman"/>
          <w:sz w:val="14"/>
          <w:szCs w:val="14"/>
          <w:color w:val="auto"/>
        </w:rPr>
        <w:t>Euroclear Bank SA/NV (“Euroclear”)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196850</wp:posOffset>
            </wp:positionV>
            <wp:extent cx="52444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79"/>
        <w:spacing w:after="0" w:line="252" w:lineRule="auto"/>
        <w:rPr>
          <w:sz w:val="20"/>
          <w:szCs w:val="20"/>
          <w:color w:val="auto"/>
        </w:rPr>
      </w:pPr>
      <w:r>
        <w:rPr>
          <w:rFonts w:ascii="Times New Roman" w:cs="Times New Roman" w:eastAsia="Times New Roman" w:hAnsi="Times New Roman"/>
          <w:sz w:val="14"/>
          <w:szCs w:val="14"/>
          <w:color w:val="auto"/>
        </w:rPr>
        <w:t>several countries. Euroclear is operated by Euroclear Bank SA/NV under contract with Euroclear plc, a U.K. corporation. Euroclear plc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93" w:lineRule="exact"/>
        <w:rPr>
          <w:sz w:val="20"/>
          <w:szCs w:val="20"/>
          <w:color w:val="auto"/>
        </w:rPr>
      </w:pPr>
    </w:p>
    <w:p>
      <w:pPr>
        <w:ind w:left="1360" w:right="1499" w:firstLine="276"/>
        <w:spacing w:after="0" w:line="276" w:lineRule="auto"/>
        <w:rPr>
          <w:sz w:val="20"/>
          <w:szCs w:val="20"/>
          <w:color w:val="auto"/>
        </w:rPr>
      </w:pPr>
      <w:r>
        <w:rPr>
          <w:rFonts w:ascii="Times New Roman" w:cs="Times New Roman" w:eastAsia="Times New Roman" w:hAnsi="Times New Roman"/>
          <w:sz w:val="14"/>
          <w:szCs w:val="14"/>
          <w:color w:val="auto"/>
        </w:rPr>
        <w:t>The Euroclear operator is a Belgian bank. As such it is regulated by the Belgian Banking and Finance Commission.</w:t>
      </w:r>
    </w:p>
    <w:p>
      <w:pPr>
        <w:spacing w:after="0" w:line="75" w:lineRule="exact"/>
        <w:rPr>
          <w:sz w:val="20"/>
          <w:szCs w:val="20"/>
          <w:color w:val="auto"/>
        </w:rPr>
      </w:pPr>
    </w:p>
    <w:p>
      <w:pPr>
        <w:ind w:left="1360" w:right="1419" w:firstLine="276"/>
        <w:spacing w:after="0" w:line="251" w:lineRule="auto"/>
        <w:rPr>
          <w:sz w:val="20"/>
          <w:szCs w:val="20"/>
          <w:color w:val="auto"/>
        </w:rPr>
      </w:pPr>
      <w:r>
        <w:rPr>
          <w:rFonts w:ascii="Times New Roman" w:cs="Times New Roman" w:eastAsia="Times New Roman" w:hAnsi="Times New Roman"/>
          <w:sz w:val="14"/>
          <w:szCs w:val="14"/>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clearance accounts. The Euroclear operator acts under the Terms and Conditions only on behalf of Euroclear participants and has no record of or relationship with persons holding through Euroclear participants.</w:t>
      </w:r>
    </w:p>
    <w:p>
      <w:pPr>
        <w:spacing w:after="0" w:line="81" w:lineRule="exact"/>
        <w:rPr>
          <w:sz w:val="20"/>
          <w:szCs w:val="20"/>
          <w:color w:val="auto"/>
        </w:rPr>
      </w:pPr>
    </w:p>
    <w:p>
      <w:pPr>
        <w:ind w:left="1360" w:right="1539" w:firstLine="276"/>
        <w:spacing w:after="0" w:line="261" w:lineRule="auto"/>
        <w:rPr>
          <w:sz w:val="20"/>
          <w:szCs w:val="20"/>
          <w:color w:val="auto"/>
        </w:rPr>
      </w:pPr>
      <w:r>
        <w:rPr>
          <w:rFonts w:ascii="Times New Roman" w:cs="Times New Roman" w:eastAsia="Times New Roman" w:hAnsi="Times New Roman"/>
          <w:sz w:val="14"/>
          <w:szCs w:val="14"/>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85" w:lineRule="exact"/>
        <w:rPr>
          <w:sz w:val="20"/>
          <w:szCs w:val="20"/>
          <w:color w:val="auto"/>
        </w:rPr>
      </w:pPr>
    </w:p>
    <w:p>
      <w:pPr>
        <w:ind w:left="1360" w:right="1419" w:firstLine="276"/>
        <w:spacing w:after="0" w:line="254" w:lineRule="auto"/>
        <w:rPr>
          <w:sz w:val="20"/>
          <w:szCs w:val="20"/>
          <w:color w:val="auto"/>
        </w:rPr>
      </w:pPr>
      <w:r>
        <w:rPr>
          <w:rFonts w:ascii="Times New Roman" w:cs="Times New Roman" w:eastAsia="Times New Roman" w:hAnsi="Times New Roman"/>
          <w:sz w:val="14"/>
          <w:szCs w:val="14"/>
          <w:color w:val="auto"/>
        </w:rPr>
        <w:t>Investors who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 certificates.</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Global Clearance and Settlement Procedures</w:t>
      </w:r>
    </w:p>
    <w:p>
      <w:pPr>
        <w:spacing w:after="0" w:line="120" w:lineRule="exact"/>
        <w:rPr>
          <w:sz w:val="20"/>
          <w:szCs w:val="20"/>
          <w:color w:val="auto"/>
        </w:rPr>
      </w:pPr>
    </w:p>
    <w:p>
      <w:pPr>
        <w:ind w:left="1360" w:right="1399" w:firstLine="276"/>
        <w:spacing w:after="0" w:line="254" w:lineRule="auto"/>
        <w:rPr>
          <w:sz w:val="20"/>
          <w:szCs w:val="20"/>
          <w:color w:val="auto"/>
        </w:rPr>
      </w:pPr>
      <w:r>
        <w:rPr>
          <w:rFonts w:ascii="Times New Roman" w:cs="Times New Roman" w:eastAsia="Times New Roman" w:hAnsi="Times New Roman"/>
          <w:sz w:val="14"/>
          <w:szCs w:val="14"/>
          <w:color w:val="auto"/>
        </w:rPr>
        <w:t>Secondary market trading between the Direct Participants will occur in the ordinary way in accordance with the DTC rules and will be settled in immediately available funds.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80" w:lineRule="exact"/>
        <w:rPr>
          <w:sz w:val="20"/>
          <w:szCs w:val="20"/>
          <w:color w:val="auto"/>
        </w:rPr>
      </w:pPr>
    </w:p>
    <w:p>
      <w:pPr>
        <w:ind w:left="1360" w:right="1439" w:firstLine="276"/>
        <w:spacing w:after="0" w:line="249" w:lineRule="auto"/>
        <w:rPr>
          <w:sz w:val="20"/>
          <w:szCs w:val="20"/>
          <w:color w:val="auto"/>
        </w:rPr>
      </w:pPr>
      <w:r>
        <w:rPr>
          <w:rFonts w:ascii="Times New Roman" w:cs="Times New Roman" w:eastAsia="Times New Roman" w:hAnsi="Times New Roman"/>
          <w:sz w:val="14"/>
          <w:szCs w:val="14"/>
          <w:color w:val="auto"/>
        </w:rPr>
        <w:t>Cross 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 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 day funds settlement applicable to DTC. Clearstream participants and Euroclear participants may not deliver instructions directly to their respective U.S. depositaries.</w:t>
      </w:r>
    </w:p>
    <w:p>
      <w:pPr>
        <w:spacing w:after="0" w:line="98" w:lineRule="exact"/>
        <w:rPr>
          <w:sz w:val="20"/>
          <w:szCs w:val="20"/>
          <w:color w:val="auto"/>
        </w:rPr>
      </w:pPr>
    </w:p>
    <w:p>
      <w:pPr>
        <w:ind w:left="1360" w:right="1459" w:firstLine="276"/>
        <w:spacing w:after="0" w:line="251" w:lineRule="auto"/>
        <w:rPr>
          <w:sz w:val="20"/>
          <w:szCs w:val="20"/>
          <w:color w:val="auto"/>
        </w:rPr>
      </w:pPr>
      <w:r>
        <w:rPr>
          <w:rFonts w:ascii="Times New Roman" w:cs="Times New Roman" w:eastAsia="Times New Roman" w:hAnsi="Times New Roman"/>
          <w:sz w:val="14"/>
          <w:szCs w:val="14"/>
          <w:color w:val="auto"/>
        </w:rPr>
        <w:t>Because of time zone differences, credits of Notes received through Clearstream or Euroclear as a result of a transaction with a DTC participant will be made during subsequent securities settlement processing and will be credited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539" w:firstLine="276"/>
        <w:spacing w:after="0" w:line="252" w:lineRule="auto"/>
        <w:rPr>
          <w:sz w:val="20"/>
          <w:szCs w:val="20"/>
          <w:color w:val="auto"/>
        </w:rPr>
      </w:pPr>
      <w:r>
        <w:rPr>
          <w:rFonts w:ascii="Times New Roman" w:cs="Times New Roman" w:eastAsia="Times New Roman" w:hAnsi="Times New Roman"/>
          <w:sz w:val="14"/>
          <w:szCs w:val="14"/>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Neither we nor the trustee will have any responsibility for the performance by DTC, Euroclear or Clearstream or their respective direct or indirect participants of their obligations under the rules and procedures governing their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w:t>
      </w:r>
    </w:p>
    <w:p>
      <w:pPr>
        <w:spacing w:after="0" w:line="120" w:lineRule="exact"/>
        <w:rPr>
          <w:sz w:val="20"/>
          <w:szCs w:val="20"/>
          <w:color w:val="auto"/>
        </w:rPr>
      </w:pPr>
    </w:p>
    <w:p>
      <w:pPr>
        <w:ind w:left="1360" w:right="1399" w:firstLine="276"/>
        <w:spacing w:after="0"/>
        <w:rPr>
          <w:sz w:val="20"/>
          <w:szCs w:val="20"/>
          <w:color w:val="auto"/>
        </w:rPr>
      </w:pPr>
      <w:r>
        <w:rPr>
          <w:rFonts w:ascii="Times New Roman" w:cs="Times New Roman" w:eastAsia="Times New Roman" w:hAnsi="Times New Roman"/>
          <w:sz w:val="14"/>
          <w:szCs w:val="14"/>
          <w:color w:val="auto"/>
        </w:rPr>
        <w:t>The following is a discussion of material U.S. federal income tax considerations relating to the purchase, ownership and disposition of the Notes by U.S. Holders and Non-U.S. Holders (each as defined below) that purchase such Notes at their issue price (generally the first price at which a substantial amount of the Notes is sold, excluding sales to bond houses, brokers or similar persons or organizations acting in the capacity of underwriters, placement agents or wholesalers) pursuant to this offering and hold such Notes as capital assets. This discussion is based on the U.S. Internal Revenue Code of 1986, as amended</w:t>
      </w:r>
    </w:p>
    <w:p>
      <w:pPr>
        <w:spacing w:after="0" w:line="2" w:lineRule="exact"/>
        <w:rPr>
          <w:sz w:val="20"/>
          <w:szCs w:val="20"/>
          <w:color w:val="auto"/>
        </w:rPr>
      </w:pPr>
    </w:p>
    <w:p>
      <w:pPr>
        <w:ind w:left="1360" w:right="1399"/>
        <w:spacing w:after="0" w:line="237" w:lineRule="auto"/>
        <w:rPr>
          <w:sz w:val="20"/>
          <w:szCs w:val="20"/>
          <w:color w:val="auto"/>
        </w:rPr>
      </w:pPr>
      <w:r>
        <w:rPr>
          <w:rFonts w:ascii="Times New Roman" w:cs="Times New Roman" w:eastAsia="Times New Roman" w:hAnsi="Times New Roman"/>
          <w:sz w:val="14"/>
          <w:szCs w:val="14"/>
          <w:color w:val="auto"/>
        </w:rPr>
        <w:t>(the “Code”), U.S. Treasury regulations promulgated or proposed thereunder and administrative and judicial interpretations thereof, all as in effect on the date hereof, and all of which are subject to change, possibly with retroactive effect, or to different interpretation. This discussion does not address all of the U.S. federal income tax considerations that may be relevant to specific Holders (as defined below) in light of their particular circumstances (including Holders that are directly or indirectly related to us and accrual method Holders that have an “applicable financial statement”) or to Holders subject to special treatment under U.S. federal income tax law (such as banks, insurance companies, dealers in securities or other Holders that generally mark their securities to market for U.S. federal income tax purposes, private university endowments and other tax-exempt entities, retirement plans, regulated investment companies, real estate investment trusts, government entities, certain former citizens or residents of the United States, Holders that hold a Note as part of a straddle, hedge, conversion or other integrated transaction or U.S. Holders that have a “functional currency” other than the U.S. dollar) . This discussion does not address any U.S. state or local or non-U.S. tax considerations or any U.S. federal estate, gift or alternative minimum tax considerations.</w:t>
      </w:r>
    </w:p>
    <w:p>
      <w:pPr>
        <w:spacing w:after="0" w:line="91" w:lineRule="exact"/>
        <w:rPr>
          <w:sz w:val="20"/>
          <w:szCs w:val="20"/>
          <w:color w:val="auto"/>
        </w:rPr>
      </w:pPr>
    </w:p>
    <w:p>
      <w:pPr>
        <w:ind w:left="1360" w:right="1379" w:firstLine="276"/>
        <w:spacing w:after="0" w:line="241" w:lineRule="auto"/>
        <w:rPr>
          <w:sz w:val="20"/>
          <w:szCs w:val="20"/>
          <w:color w:val="auto"/>
        </w:rPr>
      </w:pPr>
      <w:r>
        <w:rPr>
          <w:rFonts w:ascii="Times New Roman" w:cs="Times New Roman" w:eastAsia="Times New Roman" w:hAnsi="Times New Roman"/>
          <w:sz w:val="14"/>
          <w:szCs w:val="14"/>
          <w:color w:val="auto"/>
        </w:rPr>
        <w:t>As used in this discussion, the term “U.S. Holder” means a beneficial owner of a Note that, for U.S. federal income tax purposes, is (i) an individual who is a citizen or resident of the United States, (ii) a corporation created or organized in or under the laws of the United States, any state thereof or the District of Columbia, (iii) an estate the income of which is subject to U.S. federal income tax regardless of its source or</w:t>
      </w:r>
    </w:p>
    <w:p>
      <w:pPr>
        <w:spacing w:after="0" w:line="1" w:lineRule="exact"/>
        <w:rPr>
          <w:sz w:val="20"/>
          <w:szCs w:val="20"/>
          <w:color w:val="auto"/>
        </w:rPr>
      </w:pPr>
    </w:p>
    <w:p>
      <w:pPr>
        <w:ind w:left="1360" w:right="1419" w:hanging="2"/>
        <w:spacing w:after="0" w:line="238" w:lineRule="auto"/>
        <w:tabs>
          <w:tab w:leader="none" w:pos="160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91" w:lineRule="exact"/>
        <w:rPr>
          <w:sz w:val="20"/>
          <w:szCs w:val="20"/>
          <w:color w:val="auto"/>
        </w:rPr>
      </w:pPr>
    </w:p>
    <w:p>
      <w:pPr>
        <w:ind w:left="1360" w:right="1379" w:firstLine="276"/>
        <w:spacing w:after="0" w:line="254" w:lineRule="auto"/>
        <w:rPr>
          <w:sz w:val="20"/>
          <w:szCs w:val="20"/>
          <w:color w:val="auto"/>
        </w:rPr>
      </w:pPr>
      <w:r>
        <w:rPr>
          <w:rFonts w:ascii="Times New Roman" w:cs="Times New Roman" w:eastAsia="Times New Roman" w:hAnsi="Times New Roman"/>
          <w:sz w:val="14"/>
          <w:szCs w:val="14"/>
          <w:color w:val="auto"/>
        </w:rPr>
        <w:t>As used in this discussion, the term “Non-U.S. Holder” means a beneficial owner of a Note that is neither a U.S. Holder nor a partnership for U.S. federal income tax purposes, and the term “Holder” means a U.S. Holder or a Non-U.S. Holder.</w:t>
      </w:r>
    </w:p>
    <w:p>
      <w:pPr>
        <w:spacing w:after="0" w:line="79" w:lineRule="exact"/>
        <w:rPr>
          <w:sz w:val="20"/>
          <w:szCs w:val="20"/>
          <w:color w:val="auto"/>
        </w:rPr>
      </w:pPr>
    </w:p>
    <w:p>
      <w:pPr>
        <w:ind w:left="1360" w:right="1659" w:firstLine="276"/>
        <w:spacing w:after="0" w:line="242"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invests in a Note, the U.S. federal income tax considerations relating to such investment will depend in part upon the status and activities of such entity and the particular partner. Any such entity should consult its own tax advisor regarding the U.S. federal income tax considerations applicable to it and its partners relating to the purchase, ownership and disposition of a Note.</w:t>
      </w:r>
    </w:p>
    <w:p>
      <w:pPr>
        <w:spacing w:after="0" w:line="89" w:lineRule="exact"/>
        <w:rPr>
          <w:sz w:val="20"/>
          <w:szCs w:val="20"/>
          <w:color w:val="auto"/>
        </w:rPr>
      </w:pPr>
    </w:p>
    <w:p>
      <w:pPr>
        <w:ind w:left="1360" w:right="1439" w:firstLine="276"/>
        <w:spacing w:after="0" w:line="246" w:lineRule="auto"/>
        <w:rPr>
          <w:sz w:val="20"/>
          <w:szCs w:val="20"/>
          <w:color w:val="auto"/>
        </w:rPr>
      </w:pPr>
      <w:r>
        <w:rPr>
          <w:rFonts w:ascii="Times New Roman" w:cs="Times New Roman" w:eastAsia="Times New Roman" w:hAnsi="Times New Roman"/>
          <w:sz w:val="14"/>
          <w:szCs w:val="14"/>
          <w:color w:val="auto"/>
        </w:rPr>
        <w:t>PERSONS CONSIDERING AN INVESTMENT IN THE NOTES SHOULD CONSULT THEIR TAX ADVISORS REGARDING THE U.S. FEDERAL, STATE AND LOCAL AND NON-U.S. INCOME, ESTATE AND OTHER TAX CONSIDERATIONS RELATING TO THE PURCHASE, OWNERSHIP AND DISPOSITION OF THE NOTES IN LIGHT OF THEIR PARTICULAR CIRCUMSTANCES.</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Certain Additional Payments</w:t>
      </w:r>
    </w:p>
    <w:p>
      <w:pPr>
        <w:spacing w:after="0" w:line="120" w:lineRule="exact"/>
        <w:rPr>
          <w:sz w:val="20"/>
          <w:szCs w:val="20"/>
          <w:color w:val="auto"/>
        </w:rPr>
      </w:pPr>
    </w:p>
    <w:p>
      <w:pPr>
        <w:ind w:left="1360" w:right="1419" w:firstLine="276"/>
        <w:spacing w:after="0"/>
        <w:rPr>
          <w:sz w:val="20"/>
          <w:szCs w:val="20"/>
          <w:color w:val="auto"/>
        </w:rPr>
      </w:pPr>
      <w:r>
        <w:rPr>
          <w:rFonts w:ascii="Times New Roman" w:cs="Times New Roman" w:eastAsia="Times New Roman" w:hAnsi="Times New Roman"/>
          <w:sz w:val="14"/>
          <w:szCs w:val="14"/>
          <w:color w:val="auto"/>
        </w:rPr>
        <w:t>In certain circumstances we are required to make payments on the Notes other than stated principal or interest. For example, if we redeem a Note before the Par Call Date we are required to pay an amount equal to the greater of the present value of the remaining future payments on the Note or its outstanding principal, as described above in greater detail under the heading “Description of the Notes — Optional Redemption; No Sinking Fund.” U.S. Treasury regulations provide special rules for contingent payment debt instruments that, if applicable, could cause the timing, amount and character of a Holder’s income, gain or loss with respect to the Notes to be different from those described below. We intend to treat the possibility of our making such payments as not causing the Notes to be contingent payment debt instruments. Our treatment will be binding on all Holders, except a Holder that discloses its differing treatment in a statement attached</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 w:name="page24"/>
    <w:bookmarkEnd w:id="2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399"/>
        <w:spacing w:after="0" w:line="243" w:lineRule="auto"/>
        <w:rPr>
          <w:sz w:val="20"/>
          <w:szCs w:val="20"/>
          <w:color w:val="auto"/>
        </w:rPr>
      </w:pPr>
      <w:r>
        <w:rPr>
          <w:rFonts w:ascii="Times New Roman" w:cs="Times New Roman" w:eastAsia="Times New Roman" w:hAnsi="Times New Roman"/>
          <w:sz w:val="14"/>
          <w:szCs w:val="14"/>
          <w:color w:val="auto"/>
        </w:rPr>
        <w:t>to its timely filed U.S. federal income tax return for the taxable year during which such Holder acquired its Notes. However, our treatment is not binding on the U.S. Internal Revenue Service (the “IRS”). If the IRS were to challenge our treatment, a Holder might be required to accrue income on the Notes in excess of stated interest and to treat as ordinary income, rather than capital gain, gain recognized on the disposition of the Notes. The remainder of this discussion assumes that the Notes will not be treated as contingent payment debt instruments.</w:t>
      </w:r>
    </w:p>
    <w:p>
      <w:pPr>
        <w:spacing w:after="0" w:line="1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Interest on the Notes</w:t>
      </w:r>
    </w:p>
    <w:p>
      <w:pPr>
        <w:spacing w:after="0" w:line="120" w:lineRule="exact"/>
        <w:rPr>
          <w:sz w:val="20"/>
          <w:szCs w:val="20"/>
          <w:color w:val="auto"/>
        </w:rPr>
      </w:pPr>
    </w:p>
    <w:p>
      <w:pPr>
        <w:ind w:left="1360" w:right="1399" w:firstLine="276"/>
        <w:spacing w:after="0"/>
        <w:rPr>
          <w:sz w:val="20"/>
          <w:szCs w:val="20"/>
          <w:color w:val="auto"/>
        </w:rPr>
      </w:pPr>
      <w:r>
        <w:rPr>
          <w:rFonts w:ascii="Times New Roman" w:cs="Times New Roman" w:eastAsia="Times New Roman" w:hAnsi="Times New Roman"/>
          <w:sz w:val="14"/>
          <w:szCs w:val="14"/>
          <w:color w:val="auto"/>
        </w:rPr>
        <w:t xml:space="preserve">In general, interest payable on a Note will be taxable to a U.S. Holder as ordinary interest income when it is received or accrued, in accordance with such U.S. Holder’s regular method of accounting for U.S. federal income tax purposes. The Notes are not expected to be issued with more than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original issue discount (“OID”). However, if the Notes are issued with more than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OID, each U.S. Holder generally will be required to include OID in income (as interest) as it accrues, regardless of its regular method of accounting for U.S. federal income tax purposes, using a constant yield method, before such U.S. Holder receives any payment attributable to such income. The remainder of this discussion assumes that the Notes are not issued with more than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OID.</w:t>
      </w:r>
    </w:p>
    <w:p>
      <w:pPr>
        <w:spacing w:after="0" w:line="1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Sale, Exchange, Retirement or Other Disposition of the Notes</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Upon the sale, exchange, retirement or other disposition of a Note, a U.S. Holder generally</w:t>
      </w:r>
    </w:p>
    <w:p>
      <w:pPr>
        <w:spacing w:after="0" w:line="10" w:lineRule="exact"/>
        <w:rPr>
          <w:sz w:val="20"/>
          <w:szCs w:val="20"/>
          <w:color w:val="auto"/>
        </w:rPr>
      </w:pPr>
    </w:p>
    <w:p>
      <w:pPr>
        <w:jc w:val="both"/>
        <w:ind w:left="1360" w:right="1519"/>
        <w:spacing w:after="0" w:line="236" w:lineRule="auto"/>
        <w:rPr>
          <w:sz w:val="20"/>
          <w:szCs w:val="20"/>
          <w:color w:val="auto"/>
        </w:rPr>
      </w:pPr>
      <w:r>
        <w:rPr>
          <w:rFonts w:ascii="Times New Roman" w:cs="Times New Roman" w:eastAsia="Times New Roman" w:hAnsi="Times New Roman"/>
          <w:sz w:val="14"/>
          <w:szCs w:val="14"/>
          <w:color w:val="auto"/>
        </w:rPr>
        <w:t>will recognize gain or loss in an amount equal to the difference between the amount realized on such sale, exchange, retirement or other disposition (other than any amount attributable to accrued interest, which, if not previously included in such U.S. Holder’s income, will be taxable as interest income to such U.S.</w:t>
      </w:r>
    </w:p>
    <w:p>
      <w:pPr>
        <w:spacing w:after="0" w:line="1" w:lineRule="exact"/>
        <w:rPr>
          <w:sz w:val="20"/>
          <w:szCs w:val="20"/>
          <w:color w:val="auto"/>
        </w:rPr>
      </w:pPr>
    </w:p>
    <w:p>
      <w:pPr>
        <w:ind w:left="1360" w:right="1399"/>
        <w:spacing w:after="0" w:line="237" w:lineRule="auto"/>
        <w:rPr>
          <w:sz w:val="20"/>
          <w:szCs w:val="20"/>
          <w:color w:val="auto"/>
        </w:rPr>
      </w:pPr>
      <w:r>
        <w:rPr>
          <w:rFonts w:ascii="Times New Roman" w:cs="Times New Roman" w:eastAsia="Times New Roman" w:hAnsi="Times New Roman"/>
          <w:sz w:val="14"/>
          <w:szCs w:val="14"/>
          <w:color w:val="auto"/>
        </w:rPr>
        <w:t>Holder) and such U.S. Holder’s “adjusted tax basis” in such Note. A U.S. Holder’s adjusted tax basis in a Note generally is the amount such U.S. Holder paid for such Note decreased by the aggregate amount of payments (other than stated interest) on such Note previously made to such U.S. Holder. Any gain or loss so recognized generally will be capital gain or loss and will be long-term capital gain or loss if such U.S. Holder has held such Note for more than one year at the time of such sale, exchange, retirement or other disposition. Net long-term capital gain of certain non-corporate U.S. Holders generally is subject to preferential rates of tax. The deductibility of capital losses is subject to limitations.</w:t>
      </w:r>
    </w:p>
    <w:p>
      <w:pPr>
        <w:spacing w:after="0" w:line="1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Medicare Tax</w:t>
      </w:r>
    </w:p>
    <w:p>
      <w:pPr>
        <w:spacing w:after="0" w:line="120" w:lineRule="exact"/>
        <w:rPr>
          <w:sz w:val="20"/>
          <w:szCs w:val="20"/>
          <w:color w:val="auto"/>
        </w:rPr>
      </w:pPr>
    </w:p>
    <w:p>
      <w:pPr>
        <w:ind w:left="1360" w:right="1379" w:firstLine="276"/>
        <w:spacing w:after="0" w:line="246" w:lineRule="auto"/>
        <w:rPr>
          <w:sz w:val="20"/>
          <w:szCs w:val="20"/>
          <w:color w:val="auto"/>
        </w:rPr>
      </w:pPr>
      <w:r>
        <w:rPr>
          <w:rFonts w:ascii="Times New Roman" w:cs="Times New Roman" w:eastAsia="Times New Roman" w:hAnsi="Times New Roman"/>
          <w:sz w:val="14"/>
          <w:szCs w:val="14"/>
          <w:color w:val="auto"/>
        </w:rPr>
        <w:t>In addition to regular U.S. federal income tax, certain U.S. Holders that are individuals, estates or trusts are subject to a 3.8% tax on all or a portion of their “net investment income,” which may include all or a portion of their interest income on a Note and net gain from the sale, exchange, retirement or other disposition of a Note.</w:t>
      </w:r>
    </w:p>
    <w:p>
      <w:pPr>
        <w:spacing w:after="0" w:line="1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120" w:lineRule="exact"/>
        <w:rPr>
          <w:sz w:val="20"/>
          <w:szCs w:val="20"/>
          <w:color w:val="auto"/>
        </w:rPr>
      </w:pPr>
    </w:p>
    <w:p>
      <w:pPr>
        <w:ind w:left="1360" w:right="1439" w:firstLine="276"/>
        <w:spacing w:after="0" w:line="241" w:lineRule="auto"/>
        <w:rPr>
          <w:sz w:val="20"/>
          <w:szCs w:val="20"/>
          <w:color w:val="auto"/>
        </w:rPr>
      </w:pPr>
      <w:r>
        <w:rPr>
          <w:rFonts w:ascii="Times New Roman" w:cs="Times New Roman" w:eastAsia="Times New Roman" w:hAnsi="Times New Roman"/>
          <w:sz w:val="14"/>
          <w:szCs w:val="14"/>
          <w:color w:val="auto"/>
        </w:rPr>
        <w:t>Information reporting generally will apply to payments to a U.S. Holder of interest on, or proceeds from the sale, exchange, retirement or other disposition of, a Note, unless such U.S. Holder is an entity that is exempt from information reporting and, when required, demonstrates this fact. Any such payment to a U.S. Holder that is subject to information reporting generally will also be subject to backup withholding, unless such U.S. Holder provides the appropriate documentation (generally, IRS Form W-9) to the applicable withholding agent certifying that, among other things, its taxpayer identification number is correct, or otherwise establishes an exemption.</w:t>
      </w:r>
    </w:p>
    <w:p>
      <w:pPr>
        <w:spacing w:after="0" w:line="79" w:lineRule="exact"/>
        <w:rPr>
          <w:sz w:val="20"/>
          <w:szCs w:val="20"/>
          <w:color w:val="auto"/>
        </w:rPr>
      </w:pPr>
    </w:p>
    <w:p>
      <w:pPr>
        <w:ind w:left="1360" w:right="1379" w:firstLine="276"/>
        <w:spacing w:after="0" w:line="246"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generally will be allowed as a refund or a credit against a U.S. Holder’s U.S. federal income tax liability if the required information is furnished by such U.S. Holder on a timely basis to the IRS.</w:t>
      </w:r>
    </w:p>
    <w:p>
      <w:pPr>
        <w:spacing w:after="0" w:line="10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20" w:lineRule="exact"/>
        <w:rPr>
          <w:sz w:val="20"/>
          <w:szCs w:val="20"/>
          <w:color w:val="auto"/>
        </w:rPr>
      </w:pPr>
    </w:p>
    <w:p>
      <w:pPr>
        <w:ind w:left="1360" w:right="1819" w:firstLine="276"/>
        <w:spacing w:after="0" w:line="261" w:lineRule="auto"/>
        <w:rPr>
          <w:sz w:val="20"/>
          <w:szCs w:val="20"/>
          <w:color w:val="auto"/>
        </w:rPr>
      </w:pPr>
      <w:r>
        <w:rPr>
          <w:rFonts w:ascii="Times New Roman" w:cs="Times New Roman" w:eastAsia="Times New Roman" w:hAnsi="Times New Roman"/>
          <w:sz w:val="14"/>
          <w:szCs w:val="14"/>
          <w:color w:val="auto"/>
        </w:rPr>
        <w:t>Subject to the discussion below under “— Information Reporting and Backup Withholding” and “FATCA Withholding”:</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900" w:right="1419" w:hanging="267"/>
        <w:spacing w:after="0" w:line="261" w:lineRule="auto"/>
        <w:tabs>
          <w:tab w:leader="none" w:pos="1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of principal, interest and premium with respect to a Note owned by a Non-U.S. Holder generally will not be subject to U.S. federal withholding tax; provided that, in the case of amounts treated as payments of interest:</w:t>
      </w:r>
    </w:p>
    <w:p>
      <w:pPr>
        <w:spacing w:after="0" w:line="85" w:lineRule="exact"/>
        <w:rPr>
          <w:rFonts w:ascii="Times New Roman" w:cs="Times New Roman" w:eastAsia="Times New Roman" w:hAnsi="Times New Roman"/>
          <w:sz w:val="14"/>
          <w:szCs w:val="14"/>
          <w:color w:val="auto"/>
        </w:rPr>
      </w:pPr>
    </w:p>
    <w:p>
      <w:pPr>
        <w:ind w:left="2180" w:right="1699" w:hanging="270"/>
        <w:spacing w:after="0" w:line="276" w:lineRule="auto"/>
        <w:tabs>
          <w:tab w:leader="none" w:pos="21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amounts are not effectively connected with the conduct of a trade or business in the United States by such Non-U.S. Holder;</w:t>
      </w:r>
    </w:p>
    <w:p>
      <w:pPr>
        <w:spacing w:after="0" w:line="64" w:lineRule="exact"/>
        <w:rPr>
          <w:rFonts w:ascii="Times New Roman" w:cs="Times New Roman" w:eastAsia="Times New Roman" w:hAnsi="Times New Roman"/>
          <w:sz w:val="14"/>
          <w:szCs w:val="14"/>
          <w:color w:val="auto"/>
        </w:rPr>
      </w:pPr>
    </w:p>
    <w:p>
      <w:pPr>
        <w:ind w:left="2180" w:right="1699" w:hanging="270"/>
        <w:spacing w:after="0" w:line="276" w:lineRule="auto"/>
        <w:tabs>
          <w:tab w:leader="none" w:pos="21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Non-U.S. Holder does not own, actually or constructively, 10% or more of the total combined voting power of all classes of our stock entitled to vote;</w:t>
      </w:r>
    </w:p>
    <w:p>
      <w:pPr>
        <w:spacing w:after="0" w:line="64" w:lineRule="exact"/>
        <w:rPr>
          <w:rFonts w:ascii="Times New Roman" w:cs="Times New Roman" w:eastAsia="Times New Roman" w:hAnsi="Times New Roman"/>
          <w:sz w:val="14"/>
          <w:szCs w:val="14"/>
          <w:color w:val="auto"/>
        </w:rPr>
      </w:pPr>
    </w:p>
    <w:p>
      <w:pPr>
        <w:ind w:left="2180" w:right="1539" w:hanging="270"/>
        <w:spacing w:after="0" w:line="276" w:lineRule="auto"/>
        <w:tabs>
          <w:tab w:leader="none" w:pos="21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Non-U.S. Holder is not a controlled foreign corporation described in section 957(a) of the Code that is related to us through stock ownership;</w:t>
      </w:r>
    </w:p>
    <w:p>
      <w:pPr>
        <w:spacing w:after="0" w:line="64" w:lineRule="exact"/>
        <w:rPr>
          <w:rFonts w:ascii="Times New Roman" w:cs="Times New Roman" w:eastAsia="Times New Roman" w:hAnsi="Times New Roman"/>
          <w:sz w:val="14"/>
          <w:szCs w:val="14"/>
          <w:color w:val="auto"/>
        </w:rPr>
      </w:pPr>
    </w:p>
    <w:p>
      <w:pPr>
        <w:ind w:left="2180" w:right="2079" w:hanging="270"/>
        <w:spacing w:after="0" w:line="276" w:lineRule="auto"/>
        <w:tabs>
          <w:tab w:leader="none" w:pos="21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Non-U.S. Holder is not a bank whose receipt of such amounts is described in section 881(c)(3)(A) of the Code; and</w:t>
      </w:r>
    </w:p>
    <w:p>
      <w:pPr>
        <w:spacing w:after="0" w:line="74" w:lineRule="exact"/>
        <w:rPr>
          <w:rFonts w:ascii="Times New Roman" w:cs="Times New Roman" w:eastAsia="Times New Roman" w:hAnsi="Times New Roman"/>
          <w:sz w:val="14"/>
          <w:szCs w:val="14"/>
          <w:color w:val="auto"/>
        </w:rPr>
      </w:pPr>
    </w:p>
    <w:p>
      <w:pPr>
        <w:ind w:left="2180" w:hanging="270"/>
        <w:spacing w:after="0"/>
        <w:tabs>
          <w:tab w:leader="none" w:pos="21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 requirements described below are satisfied; and</w:t>
      </w:r>
    </w:p>
    <w:p>
      <w:pPr>
        <w:spacing w:after="0" w:line="108" w:lineRule="exact"/>
        <w:rPr>
          <w:rFonts w:ascii="Times New Roman" w:cs="Times New Roman" w:eastAsia="Times New Roman" w:hAnsi="Times New Roman"/>
          <w:sz w:val="14"/>
          <w:szCs w:val="14"/>
          <w:color w:val="auto"/>
        </w:rPr>
      </w:pPr>
    </w:p>
    <w:p>
      <w:pPr>
        <w:ind w:left="1900" w:right="1419" w:hanging="267"/>
        <w:spacing w:after="0" w:line="250" w:lineRule="auto"/>
        <w:tabs>
          <w:tab w:leader="none" w:pos="19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Non-U.S. Holder generally will not be subject to U.S. federal income or withholding tax on any gain recognized on the sale, exchange, retirement or other disposition of a Note, unless (i) such gain is effectively connected with the conduct of a trade or business in the United States by such Non-U.S. Holder, in which event such gain generally will be subject to U.S. federal income tax in the manner described below, or (ii) such Non-U.S. Holder is an individual who is present in the United States for 183 days or more during the taxable year of such sale, exchange, retirement or other disposition and certain other conditions are met, in which event such gain (net of certain U.S. source losses) generally will be subject to U.S. federal income tax at a rate of 30% (except as provided by an applicable tax treaty).</w:t>
      </w:r>
    </w:p>
    <w:p>
      <w:pPr>
        <w:spacing w:after="0" w:line="95" w:lineRule="exact"/>
        <w:rPr>
          <w:sz w:val="20"/>
          <w:szCs w:val="20"/>
          <w:color w:val="auto"/>
        </w:rPr>
      </w:pPr>
    </w:p>
    <w:p>
      <w:pPr>
        <w:ind w:left="1360" w:right="1379" w:firstLine="276"/>
        <w:spacing w:after="0" w:line="242" w:lineRule="auto"/>
        <w:rPr>
          <w:sz w:val="20"/>
          <w:szCs w:val="20"/>
          <w:color w:val="auto"/>
        </w:rPr>
      </w:pPr>
      <w:r>
        <w:rPr>
          <w:rFonts w:ascii="Times New Roman" w:cs="Times New Roman" w:eastAsia="Times New Roman" w:hAnsi="Times New Roman"/>
          <w:sz w:val="14"/>
          <w:szCs w:val="14"/>
          <w:color w:val="auto"/>
        </w:rPr>
        <w:t>The certification requirements referred to in clause (a)(v) above generally will be satisfied if the Non - U.S. Holder provides the applicable withholding agent with a statement (generally on IRS Form W-8BEN or W-8BEN-E), signed under penalties of perjury, stating, among other things, that such Non-U.S. Holder is not a U.S. person. U.S. Treasury regulations provide additional rules for a Note held through one or more intermediaries or pass-through entities.</w:t>
      </w:r>
    </w:p>
    <w:p>
      <w:pPr>
        <w:spacing w:after="0" w:line="89" w:lineRule="exact"/>
        <w:rPr>
          <w:sz w:val="20"/>
          <w:szCs w:val="20"/>
          <w:color w:val="auto"/>
        </w:rPr>
      </w:pPr>
    </w:p>
    <w:p>
      <w:pPr>
        <w:ind w:left="1360" w:right="1419" w:firstLine="276"/>
        <w:spacing w:after="0" w:line="242" w:lineRule="auto"/>
        <w:rPr>
          <w:sz w:val="20"/>
          <w:szCs w:val="20"/>
          <w:color w:val="auto"/>
        </w:rPr>
      </w:pPr>
      <w:r>
        <w:rPr>
          <w:rFonts w:ascii="Times New Roman" w:cs="Times New Roman" w:eastAsia="Times New Roman" w:hAnsi="Times New Roman"/>
          <w:sz w:val="14"/>
          <w:szCs w:val="14"/>
          <w:color w:val="auto"/>
        </w:rPr>
        <w:t>If the requirements set forth in clause (a) above are not satisfied with respect to a Non-U.S. Holder, amounts treated as payments of interest generally will be subject to U.S. federal withholding tax at a rate of 30%, unless another exemption is applicable. For example, an applicable tax treaty may reduce or eliminate this withholding tax if such Non-U.S. Holder provides the appropriate documentation (generally, IRS Form W-8BEN or W-8BEN-E) to the applicable withholding agent.</w:t>
      </w:r>
    </w:p>
    <w:p>
      <w:pPr>
        <w:spacing w:after="0" w:line="89" w:lineRule="exact"/>
        <w:rPr>
          <w:sz w:val="20"/>
          <w:szCs w:val="20"/>
          <w:color w:val="auto"/>
        </w:rPr>
      </w:pPr>
    </w:p>
    <w:p>
      <w:pPr>
        <w:ind w:left="1360" w:right="1399" w:firstLine="276"/>
        <w:spacing w:after="0" w:line="239" w:lineRule="auto"/>
        <w:rPr>
          <w:sz w:val="20"/>
          <w:szCs w:val="20"/>
          <w:color w:val="auto"/>
        </w:rPr>
      </w:pPr>
      <w:r>
        <w:rPr>
          <w:rFonts w:ascii="Times New Roman" w:cs="Times New Roman" w:eastAsia="Times New Roman" w:hAnsi="Times New Roman"/>
          <w:sz w:val="14"/>
          <w:szCs w:val="14"/>
          <w:color w:val="auto"/>
        </w:rPr>
        <w:t xml:space="preserve">If a Non-U.S. Holder is engaged in the conduct of a trade or business in the United States, and if amounts treated as interest on a Note or gain recognized on the sale, exchange, retirement or other disposition of a Note are effectively connected with such trade or business, such Non-U.S. Holder generally will not be subject to U.S. federal withholding tax on such interest or gain;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in the case of amounts treated as interest, such Non-U.S. Holder provides the appropriate documentation (generally, IRS Form W-8ECI) to the applicable withholding agent. Instead, such Non-U.S. Holder generally will be subject to U.S. federal income tax (but not the Medicare Tax described above) on such interest or gain in substantially the same manner as a U.S. Holder (except as provided by an applicable tax treaty). In addition, a Non- U.S. Holder that is treated as a corporation for U.S. federal income tax purposes may be subject to a branch profits tax at a rate of 30% (or a lower rate if provided by an applicable tax treaty) on its effectively connected income for the taxable year, subject to certain adjustments.</w:t>
      </w:r>
    </w:p>
    <w:p>
      <w:pPr>
        <w:spacing w:after="0" w:line="1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110" w:lineRule="exact"/>
        <w:rPr>
          <w:sz w:val="20"/>
          <w:szCs w:val="20"/>
          <w:color w:val="auto"/>
        </w:rPr>
      </w:pPr>
    </w:p>
    <w:p>
      <w:pPr>
        <w:jc w:val="both"/>
        <w:ind w:left="1360" w:right="1559" w:firstLine="276"/>
        <w:spacing w:after="0" w:line="254" w:lineRule="auto"/>
        <w:rPr>
          <w:sz w:val="20"/>
          <w:szCs w:val="20"/>
          <w:color w:val="auto"/>
        </w:rPr>
      </w:pPr>
      <w:r>
        <w:rPr>
          <w:rFonts w:ascii="Times New Roman" w:cs="Times New Roman" w:eastAsia="Times New Roman" w:hAnsi="Times New Roman"/>
          <w:sz w:val="14"/>
          <w:szCs w:val="14"/>
          <w:color w:val="auto"/>
        </w:rPr>
        <w:t>Amounts treated as payments of interest on a Note to a Non-U.S. Holder and the amount of any U.S. federal tax withheld from such payments generally will be reported annually to the IRS and to such Non-U.S. Holder by the applicable withholding agent.</w:t>
      </w:r>
    </w:p>
    <w:p>
      <w:pPr>
        <w:spacing w:after="0" w:line="79" w:lineRule="exact"/>
        <w:rPr>
          <w:sz w:val="20"/>
          <w:szCs w:val="20"/>
          <w:color w:val="auto"/>
        </w:rPr>
      </w:pPr>
    </w:p>
    <w:p>
      <w:pPr>
        <w:jc w:val="both"/>
        <w:ind w:left="1360" w:right="1579" w:firstLine="276"/>
        <w:spacing w:after="0" w:line="261" w:lineRule="auto"/>
        <w:rPr>
          <w:sz w:val="20"/>
          <w:szCs w:val="20"/>
          <w:color w:val="auto"/>
        </w:rPr>
      </w:pPr>
      <w:r>
        <w:rPr>
          <w:rFonts w:ascii="Times New Roman" w:cs="Times New Roman" w:eastAsia="Times New Roman" w:hAnsi="Times New Roman"/>
          <w:sz w:val="14"/>
          <w:szCs w:val="14"/>
          <w:color w:val="auto"/>
        </w:rPr>
        <w:t>The information reporting and backup withholding rules that apply to payments of interest to certain U.S. Holders generally will not apply to amounts treated as payments of interest to a Non-U.S. Holder if</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379"/>
        <w:spacing w:after="0" w:line="269" w:lineRule="auto"/>
        <w:rPr>
          <w:sz w:val="20"/>
          <w:szCs w:val="20"/>
          <w:color w:val="auto"/>
        </w:rPr>
      </w:pPr>
      <w:r>
        <w:rPr>
          <w:rFonts w:ascii="Times New Roman" w:cs="Times New Roman" w:eastAsia="Times New Roman" w:hAnsi="Times New Roman"/>
          <w:sz w:val="14"/>
          <w:szCs w:val="14"/>
          <w:color w:val="auto"/>
        </w:rPr>
        <w:t>such Non-U.S. Holder certifies under penalties of perjury that it is not a U.S. person (generally by providing an IRS Form W-8BEN or W-8BEN-E to the applicable withholding agent) or otherwise establishes an exemption.</w:t>
      </w:r>
    </w:p>
    <w:p>
      <w:pPr>
        <w:spacing w:after="0" w:line="250" w:lineRule="exact"/>
        <w:rPr>
          <w:sz w:val="20"/>
          <w:szCs w:val="20"/>
          <w:color w:val="auto"/>
        </w:rPr>
      </w:pPr>
    </w:p>
    <w:p>
      <w:pPr>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 xml:space="preserve">Proceeds from the sale, exchange, retirement or other disposition of a Note by a Non-U.S. Holder effected outside the United States through a non-U.S. office of a non-U.S. broker generally will not be subject to the information reporting and backup withholding rules that apply to payments to certain U.S. 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proceeds are paid to the Non-U.S. Holder outside the United States. However, proceeds from the sale, exchange, retirement or other disposition of a Note by a Non-U.S. Holder effected through a non-U.S. office of a non-U.S. broker with certain specified U.S. connections or of a U.S. broker generally will be subject to these information reporting rules (but generally not to these backup withholding rules), even if the proceeds are paid to such Non-U.S. Holder outside the United States, unless such Non-U.S. Holder certifies under penalties of perjury that it is not a U.S. person (generally by providing an IRS Form W-8BEN or W-8BEN-E to the applicable withholding agent) or otherwise establishes an exemption. Proceeds from the sale, exchange, retirement or other disposition of a Note by a Non-U.S. Holder effected through a U.S. office of a broker generally will be subject to these information reporting and backup withholding rules, unless such Non-U.S. Holder certifies under penalties of perjury that it is not a U.S. person (generally by providing an IRS Form W-8BEN or W-8BEN-E to the applicable withholding agent) or otherwise establishes an exemption.</w:t>
      </w:r>
    </w:p>
    <w:p>
      <w:pPr>
        <w:spacing w:after="0" w:line="260" w:lineRule="exact"/>
        <w:rPr>
          <w:sz w:val="20"/>
          <w:szCs w:val="20"/>
          <w:color w:val="auto"/>
        </w:rPr>
      </w:pPr>
    </w:p>
    <w:p>
      <w:pPr>
        <w:ind w:left="1360" w:right="1379" w:firstLine="276"/>
        <w:spacing w:after="0" w:line="261"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generally will be allowed as a refund or a credit against a Non-U.S. Holder’s U.S. federal income tax liability if the required information is furnished by such Non-U.S. Holder on a timely basis to the IRS.</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FATCA Withholding</w:t>
      </w:r>
    </w:p>
    <w:p>
      <w:pPr>
        <w:spacing w:after="0" w:line="110" w:lineRule="exact"/>
        <w:rPr>
          <w:sz w:val="20"/>
          <w:szCs w:val="20"/>
          <w:color w:val="auto"/>
        </w:rPr>
      </w:pPr>
    </w:p>
    <w:p>
      <w:pPr>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Under the Foreign Account Tax Compliance Act provisions of the Code and related U.S. Treasury guidance (“FATCA”), a withholding tax of 30% will be imposed in certain circumstances on payments of interest on the Notes.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w:t>
      </w:r>
    </w:p>
    <w:p>
      <w:pPr>
        <w:spacing w:after="0" w:line="1" w:lineRule="exact"/>
        <w:rPr>
          <w:sz w:val="20"/>
          <w:szCs w:val="20"/>
          <w:color w:val="auto"/>
        </w:rPr>
      </w:pPr>
    </w:p>
    <w:p>
      <w:pPr>
        <w:ind w:left="1540" w:hanging="182"/>
        <w:spacing w:after="0"/>
        <w:tabs>
          <w:tab w:leader="none" w:pos="1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(including an individual) that fails to provide any required information or documentation or</w:t>
      </w:r>
    </w:p>
    <w:p>
      <w:pPr>
        <w:spacing w:after="0" w:line="4" w:lineRule="exact"/>
        <w:rPr>
          <w:rFonts w:ascii="Times New Roman" w:cs="Times New Roman" w:eastAsia="Times New Roman" w:hAnsi="Times New Roman"/>
          <w:sz w:val="14"/>
          <w:szCs w:val="14"/>
          <w:color w:val="auto"/>
        </w:rPr>
      </w:pPr>
    </w:p>
    <w:p>
      <w:pPr>
        <w:jc w:val="both"/>
        <w:ind w:left="1360" w:right="1459" w:hanging="2"/>
        <w:spacing w:after="0" w:line="250" w:lineRule="auto"/>
        <w:tabs>
          <w:tab w:leader="none" w:pos="157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financial institution that has not agreed to comply with the requirements of an FFI Agreement and is not subject to similar requirements under applicable foreign law enacted in connection with an IGA. Holders should consult their tax advisors regarding the application of FATCA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0" w:lineRule="exact"/>
        <w:rPr>
          <w:sz w:val="20"/>
          <w:szCs w:val="20"/>
          <w:color w:val="auto"/>
        </w:rPr>
      </w:pPr>
    </w:p>
    <w:p>
      <w:pPr>
        <w:ind w:left="1360" w:right="1399" w:firstLine="276"/>
        <w:spacing w:after="0" w:line="243" w:lineRule="auto"/>
        <w:rPr>
          <w:sz w:val="20"/>
          <w:szCs w:val="20"/>
          <w:color w:val="auto"/>
        </w:rPr>
      </w:pPr>
      <w:r>
        <w:rPr>
          <w:rFonts w:ascii="Times New Roman" w:cs="Times New Roman" w:eastAsia="Times New Roman" w:hAnsi="Times New Roman"/>
          <w:sz w:val="14"/>
          <w:szCs w:val="14"/>
          <w:color w:val="auto"/>
        </w:rPr>
        <w:t>The Company, the Subsidiary Guarantor and the underwriters for the offering named below, for whom BofA Securities, Inc., Goldman Sachs &amp; Co. LLC and J.P. Morgan Securities LLC are acting as representatives, have entered into an underwriting agreement with respect to the Notes dated the date of this prospectus supplement. Subject to certain conditions in the underwriting agreement, we have agreed to sell to each of the underwriters named below and each underwriter has severally, and not jointly, agreed to purchase the principal amount of Notes indicated in the following table.</w:t>
      </w:r>
    </w:p>
    <w:p>
      <w:pPr>
        <w:spacing w:after="0" w:line="102" w:lineRule="exact"/>
        <w:rPr>
          <w:sz w:val="20"/>
          <w:szCs w:val="20"/>
          <w:color w:val="auto"/>
        </w:rPr>
      </w:pPr>
    </w:p>
    <w:tbl>
      <w:tblPr>
        <w:tblLayout w:type="fixed"/>
        <w:tblInd w:w="1640" w:type="dxa"/>
        <w:tblCellMar>
          <w:top w:w="0" w:type="dxa"/>
          <w:left w:w="0" w:type="dxa"/>
          <w:bottom w:w="0" w:type="dxa"/>
          <w:right w:w="0" w:type="dxa"/>
        </w:tblCellMar>
      </w:tblPr>
      <w:tr>
        <w:trPr>
          <w:trHeight w:val="126"/>
        </w:trPr>
        <w:tc>
          <w:tcPr>
            <w:tcW w:w="35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Principal</w:t>
            </w:r>
          </w:p>
        </w:tc>
      </w:tr>
      <w:tr>
        <w:trPr>
          <w:trHeight w:val="124"/>
        </w:trPr>
        <w:tc>
          <w:tcPr>
            <w:tcW w:w="3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234"/>
              <w:spacing w:after="0" w:line="124" w:lineRule="exact"/>
              <w:rPr>
                <w:sz w:val="20"/>
                <w:szCs w:val="20"/>
                <w:color w:val="auto"/>
              </w:rPr>
            </w:pPr>
            <w:r>
              <w:rPr>
                <w:rFonts w:ascii="Times New Roman" w:cs="Times New Roman" w:eastAsia="Times New Roman" w:hAnsi="Times New Roman"/>
                <w:sz w:val="11"/>
                <w:szCs w:val="11"/>
                <w:b w:val="1"/>
                <w:bCs w:val="1"/>
                <w:color w:val="auto"/>
              </w:rPr>
              <w:t>Amount</w:t>
            </w:r>
          </w:p>
        </w:tc>
      </w:tr>
      <w:tr>
        <w:trPr>
          <w:trHeight w:val="164"/>
        </w:trPr>
        <w:tc>
          <w:tcPr>
            <w:tcW w:w="3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128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Pr>
          <w:p>
            <w:pPr>
              <w:spacing w:after="0"/>
              <w:rPr>
                <w:sz w:val="14"/>
                <w:szCs w:val="14"/>
                <w:color w:val="auto"/>
              </w:rPr>
            </w:pPr>
          </w:p>
        </w:tc>
        <w:tc>
          <w:tcPr>
            <w:tcW w:w="6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0"/>
                <w:szCs w:val="10"/>
                <w:b w:val="1"/>
                <w:bCs w:val="1"/>
                <w:color w:val="auto"/>
              </w:rPr>
              <w:t xml:space="preserve">of Notes    </w:t>
            </w:r>
            <w:r>
              <w:rPr>
                <w:rFonts w:ascii="Times New Roman" w:cs="Times New Roman" w:eastAsia="Times New Roman" w:hAnsi="Times New Roman"/>
                <w:sz w:val="19"/>
                <w:szCs w:val="19"/>
                <w:b w:val="1"/>
                <w:bCs w:val="1"/>
                <w:color w:val="auto"/>
                <w:vertAlign w:val="subscript"/>
              </w:rPr>
              <w:t>​</w:t>
            </w:r>
          </w:p>
        </w:tc>
      </w:tr>
      <w:tr>
        <w:trPr>
          <w:trHeight w:val="20"/>
        </w:trPr>
        <w:tc>
          <w:tcPr>
            <w:tcW w:w="35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12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90,000,000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128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 80,000,000​</w:t>
            </w:r>
          </w:p>
        </w:tc>
      </w:tr>
      <w:tr>
        <w:trPr>
          <w:trHeight w:val="19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1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80,000,000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Barclays Capital Inc.</w:t>
            </w:r>
          </w:p>
        </w:tc>
        <w:tc>
          <w:tcPr>
            <w:tcW w:w="128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 32,000,000​</w:t>
            </w:r>
          </w:p>
        </w:tc>
      </w:tr>
      <w:tr>
        <w:trPr>
          <w:trHeight w:val="19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BNP Paribas Securities Corp.</w:t>
            </w:r>
          </w:p>
        </w:tc>
        <w:tc>
          <w:tcPr>
            <w:tcW w:w="1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32,000,000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128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 32,000,000​</w:t>
            </w:r>
          </w:p>
        </w:tc>
      </w:tr>
      <w:tr>
        <w:trPr>
          <w:trHeight w:val="19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PNC Capital Markets LLC</w:t>
            </w:r>
          </w:p>
        </w:tc>
        <w:tc>
          <w:tcPr>
            <w:tcW w:w="1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12,000,000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SMBC Nikko Securities America, Inc.</w:t>
            </w:r>
          </w:p>
        </w:tc>
        <w:tc>
          <w:tcPr>
            <w:tcW w:w="1280" w:type="dxa"/>
            <w:vAlign w:val="bottom"/>
          </w:tcPr>
          <w:p>
            <w:pPr>
              <w:spacing w:after="0"/>
              <w:rPr>
                <w:sz w:val="17"/>
                <w:szCs w:val="17"/>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 12,000,000​</w:t>
            </w:r>
          </w:p>
        </w:tc>
      </w:tr>
      <w:tr>
        <w:trPr>
          <w:trHeight w:val="19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1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 12,000,000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CastleOak Securities, L.P.</w:t>
            </w:r>
          </w:p>
        </w:tc>
        <w:tc>
          <w:tcPr>
            <w:tcW w:w="1280" w:type="dxa"/>
            <w:vAlign w:val="bottom"/>
          </w:tcPr>
          <w:p>
            <w:pPr>
              <w:spacing w:after="0"/>
              <w:rPr>
                <w:sz w:val="17"/>
                <w:szCs w:val="17"/>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6,000,000​</w:t>
            </w:r>
          </w:p>
        </w:tc>
      </w:tr>
      <w:tr>
        <w:trPr>
          <w:trHeight w:val="20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Drexel Hamilton, LLC</w:t>
            </w:r>
          </w:p>
        </w:tc>
        <w:tc>
          <w:tcPr>
            <w:tcW w:w="1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Samuel A. Ramirez &amp; Company, Inc.</w:t>
            </w:r>
          </w:p>
        </w:tc>
        <w:tc>
          <w:tcPr>
            <w:tcW w:w="1280" w:type="dxa"/>
            <w:vAlign w:val="bottom"/>
          </w:tcPr>
          <w:p>
            <w:pPr>
              <w:spacing w:after="0"/>
              <w:rPr>
                <w:sz w:val="18"/>
                <w:szCs w:val="18"/>
                <w:color w:val="auto"/>
              </w:rPr>
            </w:pPr>
          </w:p>
        </w:tc>
        <w:tc>
          <w:tcPr>
            <w:tcW w:w="300" w:type="dxa"/>
            <w:vAlign w:val="bottom"/>
            <w:gridSpan w:val="2"/>
          </w:tcPr>
          <w:p>
            <w:pPr>
              <w:ind w:left="40"/>
              <w:spacing w:after="0" w:line="217" w:lineRule="exact"/>
              <w:rPr>
                <w:sz w:val="20"/>
                <w:szCs w:val="20"/>
                <w:color w:val="auto"/>
              </w:rPr>
            </w:pP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5"/>
                <w:szCs w:val="25"/>
                <w:color w:val="auto"/>
                <w:vertAlign w:val="superscript"/>
              </w:rPr>
              <w:t>​</w:t>
            </w:r>
          </w:p>
        </w:tc>
        <w:tc>
          <w:tcPr>
            <w:tcW w:w="68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13"/>
                <w:szCs w:val="13"/>
                <w:color w:val="auto"/>
              </w:rPr>
              <w:t>6,000,000</w:t>
            </w:r>
            <w:r>
              <w:rPr>
                <w:rFonts w:ascii="Times New Roman" w:cs="Times New Roman" w:eastAsia="Times New Roman" w:hAnsi="Times New Roman"/>
                <w:sz w:val="25"/>
                <w:szCs w:val="25"/>
                <w:color w:val="auto"/>
                <w:vertAlign w:val="subscript"/>
              </w:rPr>
              <w:t>​</w:t>
            </w:r>
          </w:p>
        </w:tc>
      </w:tr>
      <w:tr>
        <w:trPr>
          <w:trHeight w:val="20"/>
        </w:trPr>
        <w:tc>
          <w:tcPr>
            <w:tcW w:w="35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400,000,000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1039495</wp:posOffset>
            </wp:positionH>
            <wp:positionV relativeFrom="paragraph">
              <wp:posOffset>-170180</wp:posOffset>
            </wp:positionV>
            <wp:extent cx="315468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154680" cy="635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-1695450</wp:posOffset>
            </wp:positionV>
            <wp:extent cx="10541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05410" cy="6350"/>
                    </a:xfrm>
                    <a:prstGeom prst="rect">
                      <a:avLst/>
                    </a:prstGeom>
                    <a:noFill/>
                  </pic:spPr>
                </pic:pic>
              </a:graphicData>
            </a:graphic>
          </wp:anchor>
        </w:drawing>
      </w:r>
    </w:p>
    <w:p>
      <w:pPr>
        <w:spacing w:after="0" w:line="110" w:lineRule="exact"/>
        <w:rPr>
          <w:sz w:val="20"/>
          <w:szCs w:val="20"/>
          <w:color w:val="auto"/>
        </w:rPr>
      </w:pPr>
    </w:p>
    <w:p>
      <w:pPr>
        <w:ind w:left="1360" w:right="1479" w:firstLine="276"/>
        <w:spacing w:after="0" w:line="242"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Notes in connection with this offering are subject to the approval of legal matters by counsel and other conditions. The underwriters are committed to take and pay for all of the Notes being offered, if any are taken. The offering of the Notes by the underwriters is subject to receipt and acceptance and subject to the underwriters’ right to reject any order in whole or in part.</w:t>
      </w:r>
    </w:p>
    <w:p>
      <w:pPr>
        <w:spacing w:after="0" w:line="79" w:lineRule="exact"/>
        <w:rPr>
          <w:sz w:val="20"/>
          <w:szCs w:val="20"/>
          <w:color w:val="auto"/>
        </w:rPr>
      </w:pPr>
    </w:p>
    <w:p>
      <w:pPr>
        <w:ind w:left="1360" w:right="1459" w:firstLine="276"/>
        <w:spacing w:after="0" w:line="241" w:lineRule="auto"/>
        <w:rPr>
          <w:sz w:val="20"/>
          <w:szCs w:val="20"/>
          <w:color w:val="auto"/>
        </w:rPr>
      </w:pPr>
      <w:r>
        <w:rPr>
          <w:rFonts w:ascii="Times New Roman" w:cs="Times New Roman" w:eastAsia="Times New Roman" w:hAnsi="Times New Roman"/>
          <w:sz w:val="14"/>
          <w:szCs w:val="14"/>
          <w:color w:val="auto"/>
        </w:rPr>
        <w:t>Notes sold by the underwriters to the public will initially be offered at the applicable public offering price set forth on the cover of this prospectus supplement. Any Notes sold by the underwriters to securities dealers may be sold at a discount from the applicable public offering price of up to 0.400% of the principal amount of the Notes. Any such securities dealers may resell any Notes purchased from the underwriters to certain other brokers or dealers at a discount from the applicable public offering price of up to 0.250% of the principal amount of the Notes. If all of the Notes are not sold at the public offering price, the underwriters may change the offering price and the other selling terms.</w:t>
      </w:r>
    </w:p>
    <w:p>
      <w:pPr>
        <w:spacing w:after="0" w:line="10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New Issue</w:t>
      </w:r>
    </w:p>
    <w:p>
      <w:pPr>
        <w:spacing w:after="0" w:line="120" w:lineRule="exact"/>
        <w:rPr>
          <w:sz w:val="20"/>
          <w:szCs w:val="20"/>
          <w:color w:val="auto"/>
        </w:rPr>
      </w:pPr>
    </w:p>
    <w:p>
      <w:pPr>
        <w:ind w:left="1360" w:right="1559" w:firstLine="276"/>
        <w:spacing w:after="0" w:line="246" w:lineRule="auto"/>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We have been advised by the underwriters that the underwriters intend to make a market in the Notes but are not obligated to do so and may discontinue market making at any time without notice. No assurance can be given as to the liquidity of the trading market for the Notes.</w:t>
      </w:r>
    </w:p>
    <w:p>
      <w:pPr>
        <w:spacing w:after="0" w:line="1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Underwriting Discount</w:t>
      </w:r>
    </w:p>
    <w:p>
      <w:pPr>
        <w:spacing w:after="0" w:line="110" w:lineRule="exact"/>
        <w:rPr>
          <w:sz w:val="20"/>
          <w:szCs w:val="20"/>
          <w:color w:val="auto"/>
        </w:rPr>
      </w:pPr>
    </w:p>
    <w:p>
      <w:pPr>
        <w:ind w:left="1360" w:right="1979" w:firstLine="276"/>
        <w:spacing w:after="0" w:line="258" w:lineRule="auto"/>
        <w:rPr>
          <w:sz w:val="20"/>
          <w:szCs w:val="20"/>
          <w:color w:val="auto"/>
        </w:rPr>
      </w:pPr>
      <w:r>
        <w:rPr>
          <w:rFonts w:ascii="Times New Roman" w:cs="Times New Roman" w:eastAsia="Times New Roman" w:hAnsi="Times New Roman"/>
          <w:sz w:val="14"/>
          <w:szCs w:val="14"/>
          <w:color w:val="auto"/>
        </w:rPr>
        <w:t>The following table shows the underwriting discount that we are to pay to the underwriters in connection with this offering (expressed as a percentage of principal amount of the Notes):</w:t>
      </w:r>
    </w:p>
    <w:tbl>
      <w:tblPr>
        <w:tblLayout w:type="fixed"/>
        <w:tblInd w:w="400" w:type="dxa"/>
        <w:tblCellMar>
          <w:top w:w="0" w:type="dxa"/>
          <w:left w:w="0" w:type="dxa"/>
          <w:bottom w:w="0" w:type="dxa"/>
          <w:right w:w="0" w:type="dxa"/>
        </w:tblCellMar>
      </w:tblPr>
      <w:tr>
        <w:trPr>
          <w:trHeight w:val="269"/>
        </w:trPr>
        <w:tc>
          <w:tcPr>
            <w:tcW w:w="2840" w:type="dxa"/>
            <w:vAlign w:val="bottom"/>
            <w:gridSpan w:val="2"/>
          </w:tcPr>
          <w:p>
            <w:pPr>
              <w:ind w:left="1240"/>
              <w:spacing w:after="0"/>
              <w:rPr>
                <w:sz w:val="20"/>
                <w:szCs w:val="20"/>
                <w:color w:val="auto"/>
              </w:rPr>
            </w:pPr>
            <w:r>
              <w:rPr>
                <w:rFonts w:ascii="Times New Roman" w:cs="Times New Roman" w:eastAsia="Times New Roman" w:hAnsi="Times New Roman"/>
                <w:sz w:val="11"/>
                <w:szCs w:val="11"/>
                <w:b w:val="1"/>
                <w:bCs w:val="1"/>
                <w:color w:val="auto"/>
              </w:rPr>
              <w:t>​</w:t>
            </w:r>
          </w:p>
        </w:tc>
        <w:tc>
          <w:tcPr>
            <w:tcW w:w="3620" w:type="dxa"/>
            <w:vAlign w:val="bottom"/>
          </w:tcPr>
          <w:p>
            <w:pPr>
              <w:ind w:left="3440"/>
              <w:spacing w:after="0"/>
              <w:rPr>
                <w:sz w:val="20"/>
                <w:szCs w:val="20"/>
                <w:color w:val="auto"/>
              </w:rPr>
            </w:pPr>
            <w:r>
              <w:rPr>
                <w:rFonts w:ascii="Times New Roman" w:cs="Times New Roman" w:eastAsia="Times New Roman" w:hAnsi="Times New Roman"/>
                <w:sz w:val="11"/>
                <w:szCs w:val="11"/>
                <w:b w:val="1"/>
                <w:bCs w:val="1"/>
                <w:color w:val="auto"/>
              </w:rPr>
              <w:t>​ ​</w:t>
            </w:r>
          </w:p>
        </w:tc>
        <w:tc>
          <w:tcPr>
            <w:tcW w:w="1760" w:type="dxa"/>
            <w:vAlign w:val="bottom"/>
            <w:gridSpan w:val="2"/>
          </w:tcPr>
          <w:p>
            <w:pPr>
              <w:jc w:val="right"/>
              <w:ind w:right="1214"/>
              <w:spacing w:after="0"/>
              <w:rPr>
                <w:sz w:val="20"/>
                <w:szCs w:val="20"/>
                <w:color w:val="auto"/>
              </w:rPr>
            </w:pPr>
            <w:r>
              <w:rPr>
                <w:rFonts w:ascii="Times New Roman" w:cs="Times New Roman" w:eastAsia="Times New Roman" w:hAnsi="Times New Roman"/>
                <w:sz w:val="11"/>
                <w:szCs w:val="11"/>
                <w:b w:val="1"/>
                <w:bCs w:val="1"/>
                <w:color w:val="auto"/>
                <w:w w:val="97"/>
              </w:rPr>
              <w:t xml:space="preserve">Paid by Us </w:t>
            </w:r>
            <w:r>
              <w:rPr>
                <w:rFonts w:ascii="Times New Roman" w:cs="Times New Roman" w:eastAsia="Times New Roman" w:hAnsi="Times New Roman"/>
                <w:sz w:val="22"/>
                <w:szCs w:val="22"/>
                <w:b w:val="1"/>
                <w:bCs w:val="1"/>
                <w:color w:val="auto"/>
                <w:w w:val="97"/>
                <w:vertAlign w:val="subscript"/>
              </w:rPr>
              <w:t>​</w:t>
            </w:r>
          </w:p>
        </w:tc>
      </w:tr>
      <w:tr>
        <w:trPr>
          <w:trHeight w:val="197"/>
        </w:trPr>
        <w:tc>
          <w:tcPr>
            <w:tcW w:w="1240" w:type="dxa"/>
            <w:vAlign w:val="bottom"/>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Note</w:t>
            </w:r>
          </w:p>
        </w:tc>
        <w:tc>
          <w:tcPr>
            <w:tcW w:w="3620" w:type="dxa"/>
            <w:vAlign w:val="bottom"/>
            <w:tcBorders>
              <w:top w:val="single" w:sz="8" w:color="CCEEFF"/>
            </w:tcBorders>
            <w:shd w:val="clear" w:color="auto" w:fill="CCEEFF"/>
          </w:tcPr>
          <w:p>
            <w:pPr>
              <w:ind w:left="348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​0.650%</w:t>
            </w:r>
          </w:p>
        </w:tc>
        <w:tc>
          <w:tcPr>
            <w:tcW w:w="1240" w:type="dxa"/>
            <w:vAlign w:val="bottom"/>
          </w:tcPr>
          <w:p>
            <w:pPr>
              <w:jc w:val="right"/>
              <w:ind w:right="1214"/>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477"/>
        </w:trPr>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S-22</w:t>
            </w: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0"/>
        </w:trPr>
        <w:tc>
          <w:tcPr>
            <w:tcW w:w="1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1039495</wp:posOffset>
            </wp:positionH>
            <wp:positionV relativeFrom="paragraph">
              <wp:posOffset>-643255</wp:posOffset>
            </wp:positionV>
            <wp:extent cx="33127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312795" cy="635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-25400</wp:posOffset>
            </wp:positionV>
            <wp:extent cx="3175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-25400</wp:posOffset>
            </wp:positionV>
            <wp:extent cx="3175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Price Stabilization and Short Positions</w:t>
      </w:r>
    </w:p>
    <w:p>
      <w:pPr>
        <w:spacing w:after="0" w:line="120" w:lineRule="exact"/>
        <w:rPr>
          <w:sz w:val="20"/>
          <w:szCs w:val="20"/>
          <w:color w:val="auto"/>
        </w:rPr>
      </w:pPr>
    </w:p>
    <w:p>
      <w:pPr>
        <w:ind w:left="1360" w:right="1419" w:firstLine="276"/>
        <w:spacing w:after="0" w:line="243"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 of the Notes while the offering is in progress.</w:t>
      </w:r>
    </w:p>
    <w:p>
      <w:pPr>
        <w:spacing w:after="0" w:line="251" w:lineRule="exact"/>
        <w:rPr>
          <w:sz w:val="20"/>
          <w:szCs w:val="20"/>
          <w:color w:val="auto"/>
        </w:rPr>
      </w:pPr>
    </w:p>
    <w:p>
      <w:pPr>
        <w:ind w:left="1360" w:right="1539" w:firstLine="276"/>
        <w:spacing w:after="0" w:line="246" w:lineRule="auto"/>
        <w:rPr>
          <w:sz w:val="20"/>
          <w:szCs w:val="20"/>
          <w:color w:val="auto"/>
        </w:rPr>
      </w:pPr>
      <w:r>
        <w:rPr>
          <w:rFonts w:ascii="Times New Roman" w:cs="Times New Roman" w:eastAsia="Times New Roman" w:hAnsi="Times New Roman"/>
          <w:sz w:val="14"/>
          <w:szCs w:val="14"/>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85" w:lineRule="exact"/>
        <w:rPr>
          <w:sz w:val="20"/>
          <w:szCs w:val="20"/>
          <w:color w:val="auto"/>
        </w:rPr>
      </w:pPr>
    </w:p>
    <w:p>
      <w:pPr>
        <w:ind w:left="1360" w:right="1459" w:firstLine="276"/>
        <w:spacing w:after="0" w:line="242" w:lineRule="auto"/>
        <w:rPr>
          <w:sz w:val="20"/>
          <w:szCs w:val="20"/>
          <w:color w:val="auto"/>
        </w:rPr>
      </w:pPr>
      <w:r>
        <w:rPr>
          <w:rFonts w:ascii="Times New Roman" w:cs="Times New Roman" w:eastAsia="Times New Roman" w:hAnsi="Times New Roman"/>
          <w:sz w:val="14"/>
          <w:szCs w:val="14"/>
          <w:color w:val="auto"/>
        </w:rPr>
        <w:t>These activities by the underwriters, as well as other purchases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Sales of Similar Securities</w:t>
      </w:r>
    </w:p>
    <w:p>
      <w:pPr>
        <w:spacing w:after="0" w:line="120" w:lineRule="exact"/>
        <w:rPr>
          <w:sz w:val="20"/>
          <w:szCs w:val="20"/>
          <w:color w:val="auto"/>
        </w:rPr>
      </w:pPr>
    </w:p>
    <w:p>
      <w:pPr>
        <w:ind w:left="1360" w:right="1379" w:firstLine="276"/>
        <w:spacing w:after="0" w:line="242" w:lineRule="auto"/>
        <w:rPr>
          <w:sz w:val="20"/>
          <w:szCs w:val="20"/>
          <w:color w:val="auto"/>
        </w:rPr>
      </w:pPr>
      <w:r>
        <w:rPr>
          <w:rFonts w:ascii="Times New Roman" w:cs="Times New Roman" w:eastAsia="Times New Roman" w:hAnsi="Times New Roman"/>
          <w:sz w:val="14"/>
          <w:szCs w:val="14"/>
          <w:color w:val="auto"/>
        </w:rPr>
        <w:t>We have agreed not to, prior to the closing of this offering, offer, sell, contract to sell, pledge, grant any option to purchase, make any short sale or otherwise dispose of any of our debt securities or the debt securities of Principal Financial Services that mature more than one year after the closing of this offering and which are substantially similar to the Notes, without the prior written consent of the representatives of the underwriters.</w:t>
      </w:r>
    </w:p>
    <w:p>
      <w:pPr>
        <w:spacing w:after="0" w:line="3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Expenses and Indemnification</w:t>
      </w:r>
    </w:p>
    <w:p>
      <w:pPr>
        <w:spacing w:after="0" w:line="110" w:lineRule="exact"/>
        <w:rPr>
          <w:sz w:val="20"/>
          <w:szCs w:val="20"/>
          <w:color w:val="auto"/>
        </w:rPr>
      </w:pPr>
    </w:p>
    <w:p>
      <w:pPr>
        <w:ind w:left="1360" w:right="1559" w:firstLine="276"/>
        <w:spacing w:after="0" w:line="261" w:lineRule="auto"/>
        <w:rPr>
          <w:sz w:val="20"/>
          <w:szCs w:val="20"/>
          <w:color w:val="auto"/>
        </w:rPr>
      </w:pPr>
      <w:r>
        <w:rPr>
          <w:rFonts w:ascii="Times New Roman" w:cs="Times New Roman" w:eastAsia="Times New Roman" w:hAnsi="Times New Roman"/>
          <w:sz w:val="14"/>
          <w:szCs w:val="14"/>
          <w:color w:val="auto"/>
        </w:rPr>
        <w:t>We estimate that our share of the total expenses of the offering, excluding the underwriting discount, will be approximately $1.3 million.</w:t>
      </w:r>
    </w:p>
    <w:p>
      <w:pPr>
        <w:spacing w:after="0" w:line="74" w:lineRule="exact"/>
        <w:rPr>
          <w:sz w:val="20"/>
          <w:szCs w:val="20"/>
          <w:color w:val="auto"/>
        </w:rPr>
      </w:pPr>
    </w:p>
    <w:p>
      <w:pPr>
        <w:ind w:left="1360" w:right="1659" w:firstLine="276"/>
        <w:spacing w:after="0" w:line="276" w:lineRule="auto"/>
        <w:rPr>
          <w:sz w:val="20"/>
          <w:szCs w:val="20"/>
          <w:color w:val="auto"/>
        </w:rPr>
      </w:pPr>
      <w:r>
        <w:rPr>
          <w:rFonts w:ascii="Times New Roman" w:cs="Times New Roman" w:eastAsia="Times New Roman" w:hAnsi="Times New Roman"/>
          <w:sz w:val="14"/>
          <w:szCs w:val="14"/>
          <w:color w:val="auto"/>
        </w:rPr>
        <w:t>We and the Subsidiary Guarantor have agreed to indemnify the several underwriters against certain liabilities, including liabilities under the Securities Act of 1933, as amended.</w:t>
      </w:r>
    </w:p>
    <w:p>
      <w:pPr>
        <w:spacing w:after="0" w:line="1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Relationships</w:t>
      </w:r>
    </w:p>
    <w:p>
      <w:pPr>
        <w:spacing w:after="0" w:line="120" w:lineRule="exact"/>
        <w:rPr>
          <w:sz w:val="20"/>
          <w:szCs w:val="20"/>
          <w:color w:val="auto"/>
        </w:rPr>
      </w:pPr>
    </w:p>
    <w:p>
      <w:pPr>
        <w:ind w:left="1360" w:right="1419" w:firstLine="276"/>
        <w:spacing w:after="0" w:line="241"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commercial banking and investment banking services for us and our affiliates, for which they received or will receive customary fees and expenses. Certain of the underwriters provide credit to our affiliates as lenders from time to time.</w:t>
      </w:r>
    </w:p>
    <w:p>
      <w:pPr>
        <w:spacing w:after="0" w:line="90" w:lineRule="exact"/>
        <w:rPr>
          <w:sz w:val="20"/>
          <w:szCs w:val="20"/>
          <w:color w:val="auto"/>
        </w:rPr>
      </w:pPr>
    </w:p>
    <w:p>
      <w:pPr>
        <w:ind w:left="1360" w:right="1379" w:firstLine="276"/>
        <w:spacing w:after="0" w:line="238" w:lineRule="auto"/>
        <w:rPr>
          <w:sz w:val="20"/>
          <w:szCs w:val="20"/>
          <w:color w:val="auto"/>
        </w:rPr>
      </w:pPr>
      <w:r>
        <w:rPr>
          <w:rFonts w:ascii="Times New Roman" w:cs="Times New Roman" w:eastAsia="Times New Roman" w:hAnsi="Times New Roman"/>
          <w:sz w:val="14"/>
          <w:szCs w:val="14"/>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such underwriters and their affiliates routinely hedge, and certain other of such underwriters and their affiliates may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 w:name="page29"/>
    <w:bookmarkEnd w:id="2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Trading Prior to Settlement</w:t>
      </w:r>
    </w:p>
    <w:p>
      <w:pPr>
        <w:spacing w:after="0" w:line="120" w:lineRule="exact"/>
        <w:rPr>
          <w:sz w:val="20"/>
          <w:szCs w:val="20"/>
          <w:color w:val="auto"/>
        </w:rPr>
      </w:pPr>
    </w:p>
    <w:p>
      <w:pPr>
        <w:ind w:left="1360" w:right="1519" w:firstLine="276"/>
        <w:spacing w:after="0"/>
        <w:rPr>
          <w:sz w:val="20"/>
          <w:szCs w:val="20"/>
          <w:color w:val="auto"/>
        </w:rPr>
      </w:pPr>
      <w:r>
        <w:rPr>
          <w:rFonts w:ascii="Times New Roman" w:cs="Times New Roman" w:eastAsia="Times New Roman" w:hAnsi="Times New Roman"/>
          <w:sz w:val="14"/>
          <w:szCs w:val="14"/>
          <w:color w:val="auto"/>
        </w:rPr>
        <w:t>It is expected that delivery of the Notes will be made on or about the date specified on the cover page of this prospectus supplement, which will be the third business day (T+3) following the date of this prospectus supplement. Under Rule 15c6-1 under the Exchange Act, trades in the secondary market generally are required to settle in one business day (T+1), unless the parties to any such trade expressly agree otherwise. Accordingly, purchasers who wish to trade the Notes prior to the business day prior to settlement will be required, by virtue of the fact that the Notes will initially settle in T+3, to specify an alternate settlement cycle at the time of any such trade to prevent a failed settlement. Purchasers of the Notes who wish to trade the Notes prior to the business day prior to settlement should consult their own advisors.</w:t>
      </w:r>
    </w:p>
    <w:p>
      <w:pPr>
        <w:spacing w:after="0" w:line="3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120" w:lineRule="exact"/>
        <w:rPr>
          <w:sz w:val="20"/>
          <w:szCs w:val="20"/>
          <w:color w:val="auto"/>
        </w:rPr>
      </w:pPr>
    </w:p>
    <w:p>
      <w:pPr>
        <w:ind w:left="1360" w:right="1399" w:firstLine="276"/>
        <w:spacing w:after="0"/>
        <w:rPr>
          <w:sz w:val="20"/>
          <w:szCs w:val="20"/>
          <w:color w:val="auto"/>
        </w:rPr>
      </w:pPr>
      <w:r>
        <w:rPr>
          <w:rFonts w:ascii="Times New Roman" w:cs="Times New Roman" w:eastAsia="Times New Roman" w:hAnsi="Times New Roman"/>
          <w:sz w:val="14"/>
          <w:szCs w:val="14"/>
          <w:color w:val="auto"/>
        </w:rPr>
        <w:t xml:space="preserve">The Notes may be sold only to purchasers purchasing, or deemed to be purchasing, as principal that are accredited investors, as defined in National Instrument 45-106 </w:t>
      </w:r>
      <w:r>
        <w:rPr>
          <w:rFonts w:ascii="Times New Roman" w:cs="Times New Roman" w:eastAsia="Times New Roman" w:hAnsi="Times New Roman"/>
          <w:sz w:val="14"/>
          <w:szCs w:val="14"/>
          <w:i w:val="1"/>
          <w:iCs w:val="1"/>
          <w:color w:val="auto"/>
        </w:rPr>
        <w:t>Prospectus Exemptions</w:t>
      </w:r>
      <w:r>
        <w:rPr>
          <w:rFonts w:ascii="Times New Roman" w:cs="Times New Roman" w:eastAsia="Times New Roman" w:hAnsi="Times New Roman"/>
          <w:sz w:val="14"/>
          <w:szCs w:val="14"/>
          <w:color w:val="auto"/>
        </w:rPr>
        <w:t xml:space="preserve"> or subsection 73.3(1) of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(Ontario), and are permitted clients, as defined in National Instrument 31-103 </w:t>
      </w:r>
      <w:r>
        <w:rPr>
          <w:rFonts w:ascii="Times New Roman" w:cs="Times New Roman" w:eastAsia="Times New Roman" w:hAnsi="Times New Roman"/>
          <w:sz w:val="14"/>
          <w:szCs w:val="14"/>
          <w:i w:val="1"/>
          <w:iCs w:val="1"/>
          <w:color w:val="auto"/>
        </w:rPr>
        <w:t>Registration Requirements, Exemptions and Ongoing Registrant Obligations</w:t>
      </w:r>
      <w:r>
        <w:rPr>
          <w:rFonts w:ascii="Times New Roman" w:cs="Times New Roman" w:eastAsia="Times New Roman" w:hAnsi="Times New Roman"/>
          <w:sz w:val="14"/>
          <w:szCs w:val="14"/>
          <w:color w:val="auto"/>
        </w:rPr>
        <w:t>. Any resale of the Notes must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made in accordance with an exemption from, or in a transaction not subject to, the prospectus requirements of applicable securities laws.</w:t>
      </w:r>
    </w:p>
    <w:p>
      <w:pPr>
        <w:spacing w:after="0" w:line="90" w:lineRule="exact"/>
        <w:rPr>
          <w:sz w:val="20"/>
          <w:szCs w:val="20"/>
          <w:color w:val="auto"/>
        </w:rPr>
      </w:pPr>
    </w:p>
    <w:p>
      <w:pPr>
        <w:ind w:left="1360" w:right="1459" w:firstLine="276"/>
        <w:spacing w:after="0" w:line="241"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49" w:lineRule="exact"/>
        <w:rPr>
          <w:sz w:val="20"/>
          <w:szCs w:val="20"/>
          <w:color w:val="auto"/>
        </w:rPr>
      </w:pPr>
    </w:p>
    <w:p>
      <w:pPr>
        <w:ind w:left="1360" w:right="1679" w:firstLine="276"/>
        <w:spacing w:after="0" w:line="255" w:lineRule="auto"/>
        <w:rPr>
          <w:sz w:val="20"/>
          <w:szCs w:val="20"/>
          <w:color w:val="auto"/>
        </w:rPr>
      </w:pPr>
      <w:r>
        <w:rPr>
          <w:rFonts w:ascii="Times New Roman" w:cs="Times New Roman" w:eastAsia="Times New Roman" w:hAnsi="Times New Roman"/>
          <w:sz w:val="14"/>
          <w:szCs w:val="14"/>
          <w:color w:val="auto"/>
        </w:rPr>
        <w:t xml:space="preserve">Pursuant to section 3A.3 of National Instrument 33-105 </w:t>
      </w:r>
      <w:r>
        <w:rPr>
          <w:rFonts w:ascii="Times New Roman" w:cs="Times New Roman" w:eastAsia="Times New Roman" w:hAnsi="Times New Roman"/>
          <w:sz w:val="14"/>
          <w:szCs w:val="14"/>
          <w:i w:val="1"/>
          <w:iCs w:val="1"/>
          <w:color w:val="auto"/>
        </w:rPr>
        <w:t>Underwriting Conflicts</w:t>
      </w:r>
      <w:r>
        <w:rPr>
          <w:rFonts w:ascii="Times New Roman" w:cs="Times New Roman" w:eastAsia="Times New Roman" w:hAnsi="Times New Roman"/>
          <w:sz w:val="14"/>
          <w:szCs w:val="14"/>
          <w:color w:val="auto"/>
        </w:rPr>
        <w:t xml:space="preserve"> (“NI 33-105”), the underwriters are not required to comply with the disclosure requirements of NI 33-105 regarding underwriter conflicts of interest in connection with this offering.</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120" w:lineRule="exact"/>
        <w:rPr>
          <w:sz w:val="20"/>
          <w:szCs w:val="20"/>
          <w:color w:val="auto"/>
        </w:rPr>
      </w:pPr>
    </w:p>
    <w:p>
      <w:pPr>
        <w:ind w:left="1360" w:right="1399" w:firstLine="276"/>
        <w:spacing w:after="0" w:line="249"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European Economic Area (“EEA”). For these purposes, (a)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“EU PRIIPs Regulation”) for offering or selling the Notes or otherwise making them available to retail investors in the EEA has been prepared and therefore offering or selling the Notes or otherwise making them available to any retail investor in the EEA may be unlawful under the EU PRIIPs Regulation.</w:t>
      </w:r>
    </w:p>
    <w:p>
      <w:pPr>
        <w:spacing w:after="0" w:line="251" w:lineRule="exact"/>
        <w:rPr>
          <w:sz w:val="20"/>
          <w:szCs w:val="20"/>
          <w:color w:val="auto"/>
        </w:rPr>
      </w:pPr>
    </w:p>
    <w:p>
      <w:pPr>
        <w:jc w:val="both"/>
        <w:ind w:left="1360" w:right="1419" w:firstLine="276"/>
        <w:spacing w:after="0" w:line="261" w:lineRule="auto"/>
        <w:rPr>
          <w:sz w:val="20"/>
          <w:szCs w:val="20"/>
          <w:color w:val="auto"/>
        </w:rPr>
      </w:pPr>
      <w:r>
        <w:rPr>
          <w:rFonts w:ascii="Times New Roman" w:cs="Times New Roman" w:eastAsia="Times New Roman" w:hAnsi="Times New Roman"/>
          <w:sz w:val="14"/>
          <w:szCs w:val="14"/>
          <w:color w:val="auto"/>
        </w:rPr>
        <w:t>Each person located in a member state of the EEA to whom any offer of Notes is made or who receives any communication in respect of any offer of Notes, or who initially acquires any Notes, will be deemed to have represented and warranted to and with each underwriter and us that such person is not a retail investor.</w:t>
      </w:r>
    </w:p>
    <w:p>
      <w:pPr>
        <w:spacing w:after="0" w:line="85" w:lineRule="exact"/>
        <w:rPr>
          <w:sz w:val="20"/>
          <w:szCs w:val="20"/>
          <w:color w:val="auto"/>
        </w:rPr>
      </w:pPr>
    </w:p>
    <w:p>
      <w:pPr>
        <w:jc w:val="both"/>
        <w:ind w:left="1360" w:right="1399" w:firstLine="276"/>
        <w:spacing w:after="0" w:line="276"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been prepared on the basis that any offer of Notes in any member state of the EEA will be made pursuant to an exemption under the</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196850</wp:posOffset>
            </wp:positionV>
            <wp:extent cx="52444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639"/>
        <w:spacing w:after="0" w:line="254" w:lineRule="auto"/>
        <w:rPr>
          <w:sz w:val="20"/>
          <w:szCs w:val="20"/>
          <w:color w:val="auto"/>
        </w:rPr>
      </w:pPr>
      <w:r>
        <w:rPr>
          <w:rFonts w:ascii="Times New Roman" w:cs="Times New Roman" w:eastAsia="Times New Roman" w:hAnsi="Times New Roman"/>
          <w:sz w:val="14"/>
          <w:szCs w:val="14"/>
          <w:color w:val="auto"/>
        </w:rPr>
        <w:t>Prospectus Regulation from the requirement to publish a prospectus for offers of Notes. This prospectus supplement and the accompanying prospectus are not a prospectus for the purposes of the Prospectus Regulation.</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120" w:lineRule="exact"/>
        <w:rPr>
          <w:sz w:val="20"/>
          <w:szCs w:val="20"/>
          <w:color w:val="auto"/>
        </w:rPr>
      </w:pPr>
    </w:p>
    <w:p>
      <w:pPr>
        <w:ind w:left="1360" w:right="1379" w:firstLine="276"/>
        <w:spacing w:after="0" w:line="239"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retail investor in the United Kingdom (the “UK”). For these purposes: (a) a “retail investor” means a person who is one (or both) of: (i) a retail client, as defined in the FCA Handbook Conduct of Business Sourcebook of the Financial Conduct Authority (the “FCA”); or(ii) not a qualified investor as defined in paragraph 15 of Schedule 1 to the Public Offers and Admissions to Trading Regulations 2024 (the “POATRs”);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in the UK by virtue of the European Union (Withdrawal) Act 2018 and as amended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90" w:lineRule="exact"/>
        <w:rPr>
          <w:sz w:val="20"/>
          <w:szCs w:val="20"/>
          <w:color w:val="auto"/>
        </w:rPr>
      </w:pPr>
    </w:p>
    <w:p>
      <w:pPr>
        <w:jc w:val="both"/>
        <w:ind w:left="1360" w:right="1379" w:firstLine="276"/>
        <w:spacing w:after="0" w:line="254" w:lineRule="auto"/>
        <w:rPr>
          <w:sz w:val="20"/>
          <w:szCs w:val="20"/>
          <w:color w:val="auto"/>
        </w:rPr>
      </w:pPr>
      <w:r>
        <w:rPr>
          <w:rFonts w:ascii="Times New Roman" w:cs="Times New Roman" w:eastAsia="Times New Roman" w:hAnsi="Times New Roman"/>
          <w:sz w:val="14"/>
          <w:szCs w:val="14"/>
          <w:color w:val="auto"/>
        </w:rPr>
        <w:t>Each person located in the UK to whom any offer of Notes is made or who receives any communication in respect of any offer of Notes, or who initially acquires any Notes, will be deemed to have represented and warranted to and with each underwriter and us that such person is not a retail investor.</w:t>
      </w:r>
    </w:p>
    <w:p>
      <w:pPr>
        <w:spacing w:after="0" w:line="79" w:lineRule="exact"/>
        <w:rPr>
          <w:sz w:val="20"/>
          <w:szCs w:val="20"/>
          <w:color w:val="auto"/>
        </w:rPr>
      </w:pPr>
    </w:p>
    <w:p>
      <w:pPr>
        <w:jc w:val="both"/>
        <w:ind w:left="1360" w:right="1399" w:firstLine="276"/>
        <w:spacing w:after="0" w:line="246"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been prepared on the basis that any offer of Notes in the UK will be made pursuant to an exemption under the POATRs from the prohibition on public offers of relevant securities in the UK. This prospectus supplement and the accompanying prospectus are not a prospectus for the purposes of the POATRs.</w:t>
      </w:r>
    </w:p>
    <w:p>
      <w:pPr>
        <w:spacing w:after="0" w:line="75" w:lineRule="exact"/>
        <w:rPr>
          <w:sz w:val="20"/>
          <w:szCs w:val="20"/>
          <w:color w:val="auto"/>
        </w:rPr>
      </w:pPr>
    </w:p>
    <w:p>
      <w:pPr>
        <w:ind w:left="1360" w:right="1379" w:firstLine="276"/>
        <w:spacing w:after="0"/>
        <w:rPr>
          <w:sz w:val="20"/>
          <w:szCs w:val="20"/>
          <w:color w:val="auto"/>
        </w:rPr>
      </w:pPr>
      <w:r>
        <w:rPr>
          <w:rFonts w:ascii="Times New Roman" w:cs="Times New Roman" w:eastAsia="Times New Roman" w:hAnsi="Times New Roman"/>
          <w:sz w:val="14"/>
          <w:szCs w:val="14"/>
          <w:color w:val="auto"/>
        </w:rPr>
        <w:t>In the United Kingdom, this prospectus supplement and the accompanying prospectus are only being distributed to, and are only directed at, qualified investors (as defined in paragraph 15 of Schedule 1 to the POATRs) who: (i) have professional experience in matters relating to investments and who fall within the definition of investment professionals (as defined in Article 19(5) of the Financial Services and Markets Act 2000 (Financial Promotion) Order 2005, as amended (the “Order”)); (ii) fall within Article 49(2)(a) to (d) of the Order; or (iii) who are persons to whom delivery of this prospectus supplement may otherwise be lawfully made in accordance with the Order (each such person being referred to as a “relevant person”). The Notes are only available to, and any invitation, offer or agreement to subscribe, purchase or otherwise acquire the Notes will be engaged in only with, relevant persons. Any person in the UK who is not a relevant person should not act or rely on this prospectus supplement or the accompanying prospectus or any of their contents.</w:t>
      </w:r>
    </w:p>
    <w:p>
      <w:pPr>
        <w:spacing w:after="0" w:line="25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Each underwriter has represented and agreed that:</w:t>
      </w:r>
    </w:p>
    <w:p>
      <w:pPr>
        <w:spacing w:after="0" w:line="108" w:lineRule="exact"/>
        <w:rPr>
          <w:sz w:val="20"/>
          <w:szCs w:val="20"/>
          <w:color w:val="auto"/>
        </w:rPr>
      </w:pPr>
    </w:p>
    <w:p>
      <w:pPr>
        <w:ind w:left="1900" w:right="1379" w:hanging="267"/>
        <w:spacing w:after="0" w:line="252" w:lineRule="auto"/>
        <w:tabs>
          <w:tab w:leader="none" w:pos="1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which are the subject of the offering contemplated by this prospectus supplement and the accompanying prospectus in circumstances in which Section 21(1) of the FSMA does not apply to us; and</w:t>
      </w:r>
    </w:p>
    <w:p>
      <w:pPr>
        <w:spacing w:after="0" w:line="93" w:lineRule="exact"/>
        <w:rPr>
          <w:rFonts w:ascii="Times New Roman" w:cs="Times New Roman" w:eastAsia="Times New Roman" w:hAnsi="Times New Roman"/>
          <w:sz w:val="14"/>
          <w:szCs w:val="14"/>
          <w:color w:val="auto"/>
        </w:rPr>
      </w:pPr>
    </w:p>
    <w:p>
      <w:pPr>
        <w:ind w:left="1900" w:right="1519" w:hanging="267"/>
        <w:spacing w:after="0" w:line="276" w:lineRule="auto"/>
        <w:tabs>
          <w:tab w:leader="none" w:pos="19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complied and will comply with all applicable provisions of the FSMA with respect to anything done by it in relation to the Notes in, from or otherwise involving the United Kingdom.</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110" w:lineRule="exact"/>
        <w:rPr>
          <w:sz w:val="20"/>
          <w:szCs w:val="20"/>
          <w:color w:val="auto"/>
        </w:rPr>
      </w:pPr>
    </w:p>
    <w:p>
      <w:pPr>
        <w:ind w:left="1360" w:right="1439" w:firstLine="276"/>
        <w:spacing w:after="0" w:line="246" w:lineRule="auto"/>
        <w:rPr>
          <w:sz w:val="20"/>
          <w:szCs w:val="20"/>
          <w:color w:val="auto"/>
        </w:rPr>
      </w:pPr>
      <w:r>
        <w:rPr>
          <w:rFonts w:ascii="Times New Roman" w:cs="Times New Roman" w:eastAsia="Times New Roman" w:hAnsi="Times New Roman"/>
          <w:sz w:val="14"/>
          <w:szCs w:val="14"/>
          <w:color w:val="auto"/>
        </w:rPr>
        <w:t>This prospectus supplement has not been reviewed or approved by the Securities and Futures Commission or the Companies Registry of Hong Kong and, accordingly, the Notes may not be offered or sold by means of this prospectus supplement or any document other than: (i) in circumstances which do not constitute an offer to the public within the meaning of the Companies (Winding Up and Miscellaneous</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19"/>
        <w:spacing w:after="0" w:line="250" w:lineRule="auto"/>
        <w:rPr>
          <w:sz w:val="20"/>
          <w:szCs w:val="20"/>
          <w:color w:val="auto"/>
        </w:rPr>
      </w:pPr>
      <w:r>
        <w:rPr>
          <w:rFonts w:ascii="Times New Roman" w:cs="Times New Roman" w:eastAsia="Times New Roman" w:hAnsi="Times New Roman"/>
          <w:sz w:val="14"/>
          <w:szCs w:val="14"/>
          <w:color w:val="auto"/>
        </w:rPr>
        <w:t>Provisions) Ordinance (Cap. 32, Laws of Hong Kong) (“HK CO”) or the Securities and Futures Ordinance (Cap. 571) (“HK SFO”) of Hong Kong and any rules made thereunder; or (ii) in other circumstances which do not result in the document being a “prospectus” within the meaning of the HK CO; or (iii) to “professional investors” within the meaning of the HK SFO and any rules made thereunder.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HK SFO and any rules made thereunder.</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120" w:lineRule="exact"/>
        <w:rPr>
          <w:sz w:val="20"/>
          <w:szCs w:val="20"/>
          <w:color w:val="auto"/>
        </w:rPr>
      </w:pPr>
    </w:p>
    <w:p>
      <w:pPr>
        <w:ind w:left="1360" w:right="1439" w:firstLine="276"/>
        <w:spacing w:after="0" w:line="249" w:lineRule="auto"/>
        <w:rPr>
          <w:sz w:val="20"/>
          <w:szCs w:val="20"/>
          <w:color w:val="auto"/>
        </w:rPr>
      </w:pPr>
      <w:r>
        <w:rPr>
          <w:rFonts w:ascii="Times New Roman" w:cs="Times New Roman" w:eastAsia="Times New Roman" w:hAnsi="Times New Roman"/>
          <w:sz w:val="14"/>
          <w:szCs w:val="14"/>
          <w:color w:val="auto"/>
        </w:rPr>
        <w:t>The Notes have not been and will not be registered for a public offering in Japan pursuant to Article 4, paragraph 1 of the Financial Instruments and Exchange Act of Japan (Act No. 25 of 1948, as amended) (the “FIEA”), since this solicitation constitutes a “solicitation targeting QIIs,” as defined in Article 23-13, Paragraph 1 of the FIEA, and the Notes may not be offered or sold, and each underwriter has represented, warranted and agreed, that it will not offer or sell any Notes, directly or indirectly in Japan or to or for the benefit of any Japanese Person or to others for re-offering or resale, directly or indirectly, in Japan or to or for the benefit of any Japanese Person, except in compliance with the FIEA and any other applicable laws, regulations, ordinances and ministerial guidelines of Japan taken as a whole. For the purposes of this paragraph, “Japanese Person” shall mean any person having his place of domicile or residence in Japan, as well as any corporation or other entity organized under the laws of Japan or having its principal office in Japan.</w:t>
      </w:r>
    </w:p>
    <w:p>
      <w:pPr>
        <w:spacing w:after="0" w:line="14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120" w:lineRule="exact"/>
        <w:rPr>
          <w:sz w:val="20"/>
          <w:szCs w:val="20"/>
          <w:color w:val="auto"/>
        </w:rPr>
      </w:pPr>
    </w:p>
    <w:p>
      <w:pPr>
        <w:ind w:left="1360" w:right="1399" w:firstLine="276"/>
        <w:spacing w:after="0" w:line="250" w:lineRule="auto"/>
        <w:rPr>
          <w:sz w:val="20"/>
          <w:szCs w:val="20"/>
          <w:color w:val="auto"/>
        </w:rPr>
      </w:pPr>
      <w:r>
        <w:rPr>
          <w:rFonts w:ascii="Times New Roman" w:cs="Times New Roman" w:eastAsia="Times New Roman" w:hAnsi="Times New Roman"/>
          <w:sz w:val="14"/>
          <w:szCs w:val="14"/>
          <w:color w:val="auto"/>
        </w:rPr>
        <w:t>This prospectus supplement has not been registered as a prospectus under the Securities and Futures Act, Chapter 289 of Singapore (the “SFA”)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SFA),</w:t>
      </w:r>
    </w:p>
    <w:p>
      <w:pPr>
        <w:spacing w:after="0" w:line="3" w:lineRule="exact"/>
        <w:rPr>
          <w:sz w:val="20"/>
          <w:szCs w:val="20"/>
          <w:color w:val="auto"/>
        </w:rPr>
      </w:pPr>
    </w:p>
    <w:p>
      <w:pPr>
        <w:ind w:left="1360" w:right="1479" w:hanging="2"/>
        <w:spacing w:after="0" w:line="248" w:lineRule="auto"/>
        <w:tabs>
          <w:tab w:leader="none" w:pos="157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relevant person, or any person pursuant to Section 275(1A) of the SFA, and in accordance with the conditions, specified in Section 275 of the SFA and (where applicable) Regulation 3 of the Securities and Futures (Class of Investors) Regulations 2018 or (iii) otherwise pursuant to, and in accordance with the conditions of, any other applicable provision of the SFA, in each case subject to conditions set forth in the SFA.</w:t>
      </w:r>
    </w:p>
    <w:p>
      <w:pPr>
        <w:spacing w:after="0" w:line="84" w:lineRule="exact"/>
        <w:rPr>
          <w:sz w:val="20"/>
          <w:szCs w:val="20"/>
          <w:color w:val="auto"/>
        </w:rPr>
      </w:pPr>
    </w:p>
    <w:p>
      <w:pPr>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Where the Notes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(1) to an institutional investor under Section 274 of the SFA or to a relevant person, or any person pursuant to Section 275(1A) or Section 276(4)(i)(B) of the SFA, and in accordance with the conditions, specified in Section 275 of the SFA; (2) where no consideration is given for the transfer; (3) by operation of law; (4) as specified in Section 276(7) of the SFA; or (5) as specified in Regulation 37A of the Securities and Futures (Offers of Investments) (Securities and Securities-based Derivatives Contracts) Regulations 2018 of Singapore.</w:t>
      </w:r>
    </w:p>
    <w:p>
      <w:pPr>
        <w:spacing w:after="0" w:line="263" w:lineRule="exact"/>
        <w:rPr>
          <w:sz w:val="20"/>
          <w:szCs w:val="20"/>
          <w:color w:val="auto"/>
        </w:rPr>
      </w:pPr>
    </w:p>
    <w:p>
      <w:pPr>
        <w:ind w:left="1360" w:right="1419" w:firstLine="276"/>
        <w:spacing w:after="0" w:line="261" w:lineRule="auto"/>
        <w:rPr>
          <w:sz w:val="20"/>
          <w:szCs w:val="20"/>
          <w:color w:val="auto"/>
        </w:rPr>
      </w:pPr>
      <w:r>
        <w:rPr>
          <w:rFonts w:ascii="Times New Roman" w:cs="Times New Roman" w:eastAsia="Times New Roman" w:hAnsi="Times New Roman"/>
          <w:sz w:val="14"/>
          <w:szCs w:val="14"/>
          <w:color w:val="auto"/>
        </w:rPr>
        <w:t>Solely for the purposes of its obligations pursuant to Sections 309B(1)(a) and 309B(1)(c) of the SFA, we have determined, and hereby notify all relevant persons (as defined in Section 309A of the SFA) that the Notes are “prescribed capital markets products” (as​ defined in the Securities and Futures (Capital Markets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559"/>
        <w:spacing w:after="0" w:line="261" w:lineRule="auto"/>
        <w:rPr>
          <w:sz w:val="20"/>
          <w:szCs w:val="20"/>
          <w:color w:val="auto"/>
        </w:rPr>
      </w:pPr>
      <w:r>
        <w:rPr>
          <w:rFonts w:ascii="Times New Roman" w:cs="Times New Roman" w:eastAsia="Times New Roman" w:hAnsi="Times New Roman"/>
          <w:sz w:val="14"/>
          <w:szCs w:val="14"/>
          <w:color w:val="auto"/>
        </w:rPr>
        <w:t>Products) Regulations 2018) and Excluded Investment Products (as defined in MAS Notice SFA 04-N12: Notice on the Sale of Investment Products and MAS Notice FAA-N16: Notice on Recommendations on Investment Products).</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120" w:lineRule="exact"/>
        <w:rPr>
          <w:sz w:val="20"/>
          <w:szCs w:val="20"/>
          <w:color w:val="auto"/>
        </w:rPr>
      </w:pPr>
    </w:p>
    <w:p>
      <w:pPr>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VALIDITY OF THE NOTES</w:t>
      </w:r>
    </w:p>
    <w:p>
      <w:pPr>
        <w:spacing w:after="0" w:line="120" w:lineRule="exact"/>
        <w:rPr>
          <w:sz w:val="20"/>
          <w:szCs w:val="20"/>
          <w:color w:val="auto"/>
        </w:rPr>
      </w:pPr>
    </w:p>
    <w:p>
      <w:pPr>
        <w:ind w:left="1360" w:right="1399" w:firstLine="276"/>
        <w:spacing w:after="0" w:line="237" w:lineRule="auto"/>
        <w:rPr>
          <w:sz w:val="20"/>
          <w:szCs w:val="20"/>
          <w:color w:val="auto"/>
        </w:rPr>
      </w:pPr>
      <w:r>
        <w:rPr>
          <w:rFonts w:ascii="Times New Roman" w:cs="Times New Roman" w:eastAsia="Times New Roman" w:hAnsi="Times New Roman"/>
          <w:sz w:val="14"/>
          <w:szCs w:val="14"/>
          <w:color w:val="auto"/>
        </w:rPr>
        <w:t>The validity of the Notes and the Subsidiary Guarantee will be passed upon for us by Debevoise &amp; Plimpton LLP, 66 Hudson Boulevard, New York, New York 10001. Certain legal matters relating to the issuance of the Subsidiary Guarantee will be passed upon for us by George Djurasovic, Vice President and Interim General Counsel of the Company. Certain legal matters relating to the issuance of the Notes and the Subsidiary Guarantee will be passed upon for the underwriters by Pillsbury Winthrop Shaw Pittman LLP, 31 W. 52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Street, New York, New York 10019. Pillsbury Winthrop Shaw Pittman LLP represents us from time to time in connection with various matters.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0" w:lineRule="exact"/>
        <w:rPr>
          <w:sz w:val="20"/>
          <w:szCs w:val="20"/>
          <w:color w:val="auto"/>
        </w:rPr>
      </w:pPr>
    </w:p>
    <w:p>
      <w:pPr>
        <w:ind w:left="1360" w:right="1419" w:firstLine="276"/>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Principal Financial Group, Inc. appearing in Principal Financial Group, Inc.’s </w:t>
      </w:r>
      <w:hyperlink r:id="rId29">
        <w:r>
          <w:rPr>
            <w:rFonts w:ascii="Times New Roman" w:cs="Times New Roman" w:eastAsia="Times New Roman" w:hAnsi="Times New Roman"/>
            <w:sz w:val="14"/>
            <w:szCs w:val="14"/>
            <w:u w:val="single" w:color="auto"/>
            <w:color w:val="0000EE"/>
          </w:rPr>
          <w:t>Annual Report (Form 10-K) for the year ended 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(including schedules appearing therein), and the effectiveness of Principal Financial Group, Inc.’s internal control over financial reporting as of December 31, 2025, have been audited by Ernst &amp; Young LLP, independent registered public accounting firm, as set forth in its reports thereon, included therein, and incorporated herein by reference. Such consolidated financial statements are incorporated herein by reference in reliance upon the reports of Ernst &amp; Young LLP pertaining to such financial statements and the effectiveness of our internal control over financial reporting as of December 31, 2025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0" w:lineRule="exact"/>
        <w:rPr>
          <w:sz w:val="20"/>
          <w:szCs w:val="20"/>
          <w:color w:val="auto"/>
        </w:rPr>
      </w:pPr>
    </w:p>
    <w:p>
      <w:pPr>
        <w:ind w:left="1360" w:right="1379" w:firstLine="276"/>
        <w:spacing w:after="0" w:line="256"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 website at http://www.sec.gov, from which interested persons can electronically access our filings with the SEC, including the registration statement to which this prospectus supplement relates (including the exhibits and schedules thereto).</w:t>
      </w:r>
    </w:p>
    <w:p>
      <w:pPr>
        <w:spacing w:after="0" w:line="89" w:lineRule="exact"/>
        <w:rPr>
          <w:sz w:val="20"/>
          <w:szCs w:val="20"/>
          <w:color w:val="auto"/>
        </w:rPr>
      </w:pPr>
    </w:p>
    <w:p>
      <w:pPr>
        <w:ind w:left="1360" w:right="1479" w:firstLine="276"/>
        <w:spacing w:after="0" w:line="250"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prior to the termination of the offering under this prospectus supplement will automatically update and supersede this information. We incorporate by reference the documents listed below and all documents we will file with the SEC pursuant to Section 13(a), 13(c), 14 or 15(d) of the Securities Exchange Act of 1934, as amended, other than reports or portions thereof furnished under Item 2.02 or 7.01 on Form 8-K and not specifically incorporated by reference, prior to the termination or completion of the offering under this prospectus supplement:</w:t>
      </w:r>
    </w:p>
    <w:p>
      <w:pPr>
        <w:spacing w:after="0" w:line="85" w:lineRule="exact"/>
        <w:rPr>
          <w:sz w:val="20"/>
          <w:szCs w:val="20"/>
          <w:color w:val="auto"/>
        </w:rPr>
      </w:pPr>
    </w:p>
    <w:p>
      <w:pPr>
        <w:ind w:left="1900" w:hanging="267"/>
        <w:spacing w:after="0"/>
        <w:tabs>
          <w:tab w:leader="none" w:pos="1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29">
        <w:r>
          <w:rPr>
            <w:rFonts w:ascii="Times New Roman" w:cs="Times New Roman" w:eastAsia="Times New Roman" w:hAnsi="Times New Roman"/>
            <w:sz w:val="14"/>
            <w:szCs w:val="14"/>
            <w:u w:val="single" w:color="auto"/>
            <w:color w:val="0000EE"/>
          </w:rPr>
          <w:t>Annual Report on Form 10-K for the fiscal year ended December 31, 2025</w:t>
        </w:r>
      </w:hyperlink>
      <w:r>
        <w:rPr>
          <w:rFonts w:ascii="Times New Roman" w:cs="Times New Roman" w:eastAsia="Times New Roman" w:hAnsi="Times New Roman"/>
          <w:sz w:val="14"/>
          <w:szCs w:val="14"/>
          <w:color w:val="auto"/>
        </w:rPr>
        <w:t>;</w:t>
      </w:r>
    </w:p>
    <w:p>
      <w:pPr>
        <w:spacing w:after="0" w:line="118" w:lineRule="exact"/>
        <w:rPr>
          <w:rFonts w:ascii="Times New Roman" w:cs="Times New Roman" w:eastAsia="Times New Roman" w:hAnsi="Times New Roman"/>
          <w:sz w:val="14"/>
          <w:szCs w:val="14"/>
          <w:color w:val="auto"/>
        </w:rPr>
      </w:pPr>
    </w:p>
    <w:p>
      <w:pPr>
        <w:ind w:left="1900" w:hanging="267"/>
        <w:spacing w:after="0"/>
        <w:tabs>
          <w:tab w:leader="none" w:pos="1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30">
        <w:r>
          <w:rPr>
            <w:rFonts w:ascii="Times New Roman" w:cs="Times New Roman" w:eastAsia="Times New Roman" w:hAnsi="Times New Roman"/>
            <w:sz w:val="14"/>
            <w:szCs w:val="14"/>
            <w:u w:val="single" w:color="auto"/>
            <w:color w:val="0000EE"/>
          </w:rPr>
          <w:t>Quarterly Report on Form 10-Q for the fiscal quarter ended March 31, 2026</w:t>
        </w:r>
      </w:hyperlink>
      <w:r>
        <w:rPr>
          <w:rFonts w:ascii="Times New Roman" w:cs="Times New Roman" w:eastAsia="Times New Roman" w:hAnsi="Times New Roman"/>
          <w:sz w:val="14"/>
          <w:szCs w:val="14"/>
          <w:color w:val="auto"/>
        </w:rPr>
        <w:t>; and</w:t>
      </w:r>
    </w:p>
    <w:p>
      <w:pPr>
        <w:spacing w:after="0" w:line="118" w:lineRule="exact"/>
        <w:rPr>
          <w:rFonts w:ascii="Times New Roman" w:cs="Times New Roman" w:eastAsia="Times New Roman" w:hAnsi="Times New Roman"/>
          <w:sz w:val="14"/>
          <w:szCs w:val="14"/>
          <w:color w:val="auto"/>
        </w:rPr>
      </w:pPr>
    </w:p>
    <w:p>
      <w:pPr>
        <w:ind w:left="1900" w:hanging="267"/>
        <w:spacing w:after="0"/>
        <w:tabs>
          <w:tab w:leader="none" w:pos="1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Form 8-K filed on </w:t>
      </w:r>
      <w:hyperlink r:id="rId77">
        <w:r>
          <w:rPr>
            <w:rFonts w:ascii="Times New Roman" w:cs="Times New Roman" w:eastAsia="Times New Roman" w:hAnsi="Times New Roman"/>
            <w:sz w:val="14"/>
            <w:szCs w:val="14"/>
            <w:u w:val="single" w:color="auto"/>
            <w:color w:val="0000EE"/>
          </w:rPr>
          <w:t>May 20, 2026</w:t>
        </w:r>
      </w:hyperlink>
      <w:r>
        <w:rPr>
          <w:rFonts w:ascii="Times New Roman" w:cs="Times New Roman" w:eastAsia="Times New Roman" w:hAnsi="Times New Roman"/>
          <w:sz w:val="14"/>
          <w:szCs w:val="14"/>
          <w:color w:val="auto"/>
        </w:rPr>
        <w:t>.</w:t>
      </w:r>
    </w:p>
    <w:p>
      <w:pPr>
        <w:spacing w:after="0" w:line="108" w:lineRule="exact"/>
        <w:rPr>
          <w:rFonts w:ascii="Times New Roman" w:cs="Times New Roman" w:eastAsia="Times New Roman" w:hAnsi="Times New Roman"/>
          <w:sz w:val="14"/>
          <w:szCs w:val="14"/>
          <w:color w:val="auto"/>
        </w:rPr>
      </w:pPr>
    </w:p>
    <w:p>
      <w:pPr>
        <w:ind w:left="1360" w:right="1399" w:firstLine="276"/>
        <w:spacing w:after="0" w:line="252" w:lineRule="auto"/>
        <w:rPr>
          <w:sz w:val="20"/>
          <w:szCs w:val="20"/>
          <w:color w:val="auto"/>
        </w:rPr>
      </w:pPr>
      <w:r>
        <w:rPr>
          <w:rFonts w:ascii="Times New Roman" w:cs="Times New Roman" w:eastAsia="Times New Roman" w:hAnsi="Times New Roman"/>
          <w:sz w:val="14"/>
          <w:szCs w:val="14"/>
          <w:color w:val="auto"/>
        </w:rPr>
        <w:t>You can obtain any of the filings incorporated by reference in this prospectus supplement through us or from the SEC through the SEC’s website at the address listed above. You may request orally or in writing, without charge, a copy of any or all of the documents which are incorporated by reference in this prospectus supplement and the accompanying prospectus. Requests for such copies should be directed to the Office of the Corporate Secretary, Principal Financial Group, Inc., 711 High Street, Des Moines, Iowa 50392, Telephone: (515) 247-5111.</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10"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ind w:left="400"/>
        <w:spacing w:after="0"/>
        <w:rPr>
          <w:sz w:val="20"/>
          <w:szCs w:val="20"/>
          <w:color w:val="auto"/>
        </w:rPr>
      </w:pPr>
      <w:r>
        <w:rPr>
          <w:rFonts w:ascii="Calibri" w:cs="Calibri" w:eastAsia="Calibri" w:hAnsi="Calibri"/>
          <w:sz w:val="11"/>
          <w:szCs w:val="11"/>
          <w:color w:val="003366"/>
        </w:rPr>
        <w:t>TABLE OF CONTENTS</w:t>
      </w:r>
    </w:p>
    <w:p>
      <w:pPr>
        <w:spacing w:after="0" w:line="38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Principal Financial Group, Inc.</w:t>
      </w:r>
    </w:p>
    <w:p>
      <w:pPr>
        <w:spacing w:after="0" w:line="16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2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9"/>
          <w:szCs w:val="19"/>
          <w:b w:val="1"/>
          <w:bCs w:val="1"/>
          <w:color w:val="auto"/>
        </w:rPr>
        <w:t>Preferred Stock</w:t>
      </w:r>
    </w:p>
    <w:p>
      <w:pPr>
        <w:ind w:left="386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Depositary Shares</w:t>
      </w:r>
    </w:p>
    <w:p>
      <w:pPr>
        <w:ind w:left="4100"/>
        <w:spacing w:after="0" w:line="238" w:lineRule="auto"/>
        <w:rPr>
          <w:sz w:val="20"/>
          <w:szCs w:val="20"/>
          <w:color w:val="auto"/>
        </w:rPr>
      </w:pPr>
      <w:r>
        <w:rPr>
          <w:rFonts w:ascii="Times New Roman" w:cs="Times New Roman" w:eastAsia="Times New Roman" w:hAnsi="Times New Roman"/>
          <w:sz w:val="19"/>
          <w:szCs w:val="19"/>
          <w:b w:val="1"/>
          <w:bCs w:val="1"/>
          <w:color w:val="auto"/>
        </w:rPr>
        <w:t>Warrants</w:t>
      </w:r>
    </w:p>
    <w:p>
      <w:pPr>
        <w:spacing w:after="0" w:line="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b w:val="1"/>
          <w:bCs w:val="1"/>
          <w:color w:val="auto"/>
        </w:rPr>
        <w:t>Purchase Contracts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b w:val="1"/>
          <w:bCs w:val="1"/>
          <w:color w:val="auto"/>
        </w:rPr>
        <w:t>Purchase Units</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as Described in this Prospectus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and the Accompanying Prospectus Supplement</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by Principal Financial Group, Inc.</w:t>
      </w:r>
    </w:p>
    <w:p>
      <w:pPr>
        <w:spacing w:after="0" w:line="103" w:lineRule="exact"/>
        <w:rPr>
          <w:sz w:val="20"/>
          <w:szCs w:val="20"/>
          <w:color w:val="auto"/>
        </w:rPr>
      </w:pPr>
    </w:p>
    <w:p>
      <w:pPr>
        <w:ind w:left="1360" w:right="1979" w:firstLine="276"/>
        <w:spacing w:after="0" w:line="276" w:lineRule="auto"/>
        <w:rPr>
          <w:sz w:val="20"/>
          <w:szCs w:val="20"/>
          <w:color w:val="auto"/>
        </w:rPr>
      </w:pPr>
      <w:r>
        <w:rPr>
          <w:rFonts w:ascii="Times New Roman" w:cs="Times New Roman" w:eastAsia="Times New Roman" w:hAnsi="Times New Roman"/>
          <w:sz w:val="14"/>
          <w:szCs w:val="14"/>
          <w:color w:val="auto"/>
        </w:rPr>
        <w:t>By this prospectus, we may offer from time to time the securities described in this prospectus separately or together in any combination.</w:t>
      </w:r>
    </w:p>
    <w:p>
      <w:pPr>
        <w:spacing w:after="0" w:line="64" w:lineRule="exact"/>
        <w:rPr>
          <w:sz w:val="20"/>
          <w:szCs w:val="20"/>
          <w:color w:val="auto"/>
        </w:rPr>
      </w:pPr>
    </w:p>
    <w:p>
      <w:pPr>
        <w:ind w:left="1360" w:right="1419" w:firstLine="276"/>
        <w:spacing w:after="0" w:line="256" w:lineRule="auto"/>
        <w:rPr>
          <w:sz w:val="20"/>
          <w:szCs w:val="20"/>
          <w:color w:val="auto"/>
        </w:rPr>
      </w:pPr>
      <w:r>
        <w:rPr>
          <w:rFonts w:ascii="Times New Roman" w:cs="Times New Roman" w:eastAsia="Times New Roman" w:hAnsi="Times New Roman"/>
          <w:sz w:val="14"/>
          <w:szCs w:val="14"/>
          <w:color w:val="auto"/>
        </w:rPr>
        <w:t>We will provide specific terms of any securities and any associated subsidiary guarantee to be offered in supplements to this prospectus. You should read this prospectus and any supplement carefully before you invest. A supplement may also change, add to, update, supplement or clarify information contained in this prospectus.</w:t>
      </w:r>
    </w:p>
    <w:p>
      <w:pPr>
        <w:spacing w:after="0" w:line="89" w:lineRule="exact"/>
        <w:rPr>
          <w:sz w:val="20"/>
          <w:szCs w:val="20"/>
          <w:color w:val="auto"/>
        </w:rPr>
      </w:pPr>
    </w:p>
    <w:p>
      <w:pPr>
        <w:ind w:left="1360" w:right="1819" w:firstLine="276"/>
        <w:spacing w:after="0" w:line="276" w:lineRule="auto"/>
        <w:rPr>
          <w:sz w:val="20"/>
          <w:szCs w:val="20"/>
          <w:color w:val="auto"/>
        </w:rPr>
      </w:pPr>
      <w:r>
        <w:rPr>
          <w:rFonts w:ascii="Times New Roman" w:cs="Times New Roman" w:eastAsia="Times New Roman" w:hAnsi="Times New Roman"/>
          <w:sz w:val="14"/>
          <w:szCs w:val="14"/>
          <w:color w:val="auto"/>
        </w:rPr>
        <w:t>We will not use this prospectus to confirm sales of any of our securities unless it is attached to a prospectus supplement.</w:t>
      </w:r>
    </w:p>
    <w:p>
      <w:pPr>
        <w:spacing w:after="0" w:line="75" w:lineRule="exact"/>
        <w:rPr>
          <w:sz w:val="20"/>
          <w:szCs w:val="20"/>
          <w:color w:val="auto"/>
        </w:rPr>
      </w:pPr>
    </w:p>
    <w:p>
      <w:pPr>
        <w:ind w:left="1360" w:right="1599" w:firstLine="276"/>
        <w:spacing w:after="0" w:line="276" w:lineRule="auto"/>
        <w:rPr>
          <w:sz w:val="20"/>
          <w:szCs w:val="20"/>
          <w:color w:val="auto"/>
        </w:rPr>
      </w:pPr>
      <w:r>
        <w:rPr>
          <w:rFonts w:ascii="Times New Roman" w:cs="Times New Roman" w:eastAsia="Times New Roman" w:hAnsi="Times New Roman"/>
          <w:sz w:val="14"/>
          <w:szCs w:val="14"/>
          <w:color w:val="auto"/>
        </w:rPr>
        <w:t>Unless we state otherwise in a prospectus supplement, we will not list any of these securities on any securities exchange.</w:t>
      </w:r>
    </w:p>
    <w:p>
      <w:pPr>
        <w:spacing w:after="0" w:line="6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“PFG”.</w:t>
      </w:r>
    </w:p>
    <w:p>
      <w:pPr>
        <w:spacing w:after="0" w:line="118" w:lineRule="exact"/>
        <w:rPr>
          <w:sz w:val="20"/>
          <w:szCs w:val="20"/>
          <w:color w:val="auto"/>
        </w:rPr>
      </w:pPr>
    </w:p>
    <w:p>
      <w:pPr>
        <w:ind w:left="1360" w:right="1479" w:firstLine="276"/>
        <w:spacing w:after="0" w:line="276" w:lineRule="auto"/>
        <w:rPr>
          <w:sz w:val="20"/>
          <w:szCs w:val="20"/>
          <w:color w:val="auto"/>
        </w:rPr>
      </w:pPr>
      <w:r>
        <w:rPr>
          <w:rFonts w:ascii="Times New Roman" w:cs="Times New Roman" w:eastAsia="Times New Roman" w:hAnsi="Times New Roman"/>
          <w:sz w:val="14"/>
          <w:szCs w:val="14"/>
          <w:color w:val="auto"/>
        </w:rPr>
        <w:t>We may offer and sell these securities to or through one or more agents, underwriters, dealers or other third parties or directly to one or more purchasers on a continuous or delayed basis.</w:t>
      </w:r>
    </w:p>
    <w:p>
      <w:pPr>
        <w:spacing w:after="0" w:line="7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 xml:space="preserve">Investing in these securities involves risks. See “Risk Factors” on page </w:t>
      </w:r>
      <w:r>
        <w:rPr>
          <w:rFonts w:ascii="Times New Roman" w:cs="Times New Roman" w:eastAsia="Times New Roman" w:hAnsi="Times New Roman"/>
          <w:sz w:val="14"/>
          <w:szCs w:val="14"/>
          <w:b w:val="1"/>
          <w:bCs w:val="1"/>
          <w:u w:val="single" w:color="auto"/>
          <w:color w:val="0000EE"/>
        </w:rPr>
        <w:t>2</w:t>
      </w:r>
      <w:r>
        <w:rPr>
          <w:rFonts w:ascii="Times New Roman" w:cs="Times New Roman" w:eastAsia="Times New Roman" w:hAnsi="Times New Roman"/>
          <w:sz w:val="14"/>
          <w:szCs w:val="14"/>
          <w:b w:val="1"/>
          <w:bCs w:val="1"/>
          <w:color w:val="auto"/>
        </w:rPr>
        <w:t>.</w:t>
      </w:r>
    </w:p>
    <w:p>
      <w:pPr>
        <w:spacing w:after="0" w:line="108" w:lineRule="exact"/>
        <w:rPr>
          <w:sz w:val="20"/>
          <w:szCs w:val="20"/>
          <w:color w:val="auto"/>
        </w:rPr>
      </w:pPr>
    </w:p>
    <w:p>
      <w:pPr>
        <w:ind w:left="1360" w:right="1659" w:firstLine="276"/>
        <w:spacing w:after="0" w:line="26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1780540</wp:posOffset>
            </wp:positionV>
            <wp:extent cx="52444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-85725</wp:posOffset>
            </wp:positionV>
            <wp:extent cx="3996055" cy="92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996055" cy="92075"/>
                    </a:xfrm>
                    <a:prstGeom prst="rect">
                      <a:avLst/>
                    </a:prstGeom>
                    <a:noFill/>
                  </pic:spPr>
                </pic:pic>
              </a:graphicData>
            </a:graphic>
          </wp:anchor>
        </w:drawing>
      </w:r>
    </w:p>
    <w:p>
      <w:pPr>
        <w:spacing w:after="0" w:line="1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FORWARD</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-10160</wp:posOffset>
            </wp:positionV>
            <wp:extent cx="3996055" cy="151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NOTE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REGARDING RELIANCE ON STATEMENTS IN OUR CONTRACTS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PRINCIPAL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FINANCIAL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-6985</wp:posOffset>
            </wp:positionV>
            <wp:extent cx="3996055" cy="151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-6985</wp:posOffset>
            </wp:positionV>
            <wp:extent cx="3996055" cy="151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GUARANTEE OF PRINCIPAL FINANCIAL SERVICES, INC.</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-6985</wp:posOffset>
            </wp:positionV>
            <wp:extent cx="3996055" cy="151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JUNIOR SUBORDINATED DEBT SECURITIES</w:t>
      </w:r>
    </w:p>
    <w:p>
      <w:pPr>
        <w:spacing w:after="0" w:line="46"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CAPITAL STOCK OF PRINCIPAL FINANCIAL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-6985</wp:posOffset>
            </wp:positionV>
            <wp:extent cx="3996055" cy="151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DEPOSITARY SHARES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-6985</wp:posOffset>
            </wp:positionV>
            <wp:extent cx="3996055" cy="151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PURCHASE CONTRACTS AND PURCHASE UNITS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-6985</wp:posOffset>
            </wp:positionV>
            <wp:extent cx="3996055" cy="151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996055" cy="151130"/>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VALIDITY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SECURITIES</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12065</wp:posOffset>
            </wp:positionV>
            <wp:extent cx="3996055" cy="131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996055" cy="131445"/>
                    </a:xfrm>
                    <a:prstGeom prst="rect">
                      <a:avLst/>
                    </a:prstGeom>
                    <a:noFill/>
                  </pic:spPr>
                </pic:pic>
              </a:graphicData>
            </a:graphic>
          </wp:anchor>
        </w:drawing>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-6985</wp:posOffset>
            </wp:positionV>
            <wp:extent cx="141795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4179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iii</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v</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26</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30</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32</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34</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35</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37</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37</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37</w:t>
      </w:r>
      <w:r>
        <w:rPr>
          <w:rFonts w:ascii="Times New Roman" w:cs="Times New Roman" w:eastAsia="Times New Roman" w:hAnsi="Times New Roman"/>
          <w:sz w:val="14"/>
          <w:szCs w:val="14"/>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38</w:t>
      </w:r>
      <w:r>
        <w:rPr>
          <w:rFonts w:ascii="Times New Roman" w:cs="Times New Roman" w:eastAsia="Times New Roman" w:hAnsi="Times New Roman"/>
          <w:sz w:val="14"/>
          <w:szCs w:val="14"/>
          <w:color w:val="auto"/>
        </w:rPr>
        <w:t>​</w:t>
      </w:r>
    </w:p>
    <w:p>
      <w:pPr>
        <w:sectPr>
          <w:pgSz w:w="11900" w:h="16838" w:orient="portrait"/>
          <w:cols w:equalWidth="0" w:num="2">
            <w:col w:w="6660" w:space="720"/>
            <w:col w:w="1639"/>
          </w:cols>
          <w:pgMar w:left="1440" w:top="104" w:right="1440" w:bottom="1440" w:gutter="0" w:footer="0" w:header="0"/>
        </w:sectPr>
      </w:pPr>
    </w:p>
    <w:bookmarkStart w:id="36" w:name="page37"/>
    <w:bookmarkEnd w:id="36"/>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0" w:lineRule="exact"/>
        <w:rPr>
          <w:sz w:val="20"/>
          <w:szCs w:val="20"/>
          <w:color w:val="auto"/>
        </w:rPr>
      </w:pPr>
    </w:p>
    <w:p>
      <w:pPr>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 utilizing a “shelf” registration process. Under this shelf process, we are registering an unspecified amount of each class of the securities described in this prospectus, and we may sell any combination of the securities described in this prospectus in one or more offerings. In addition, we or any of our respective affiliates may use this prospectus and the applicable prospectus supplement in a remarketing or other resale transaction involving the securities after their initial sale. This prospectus provides you with a general description of the securities we may offer. Each time we sell securities, we will provide a prospectus supplement that will contain specific information about the terms of that offering. The prospectus supplement may also add to, change, update, supplement or clarify information contained in this prospectus. Any statement that we make in this prospectus will be modified or superseded by any inconsistent statement made by us in a prospectus supplement. The rules of the SEC allow us to incorporate by reference information into this prospectus. This information incorporated by reference is considered to be a part of this prospectus, and information that we file later with the SEC will automatically update and supersede this information. See “Incorporation by Reference.” You should read both this prospectus and any prospectus supplement together with additional information described under the heading “Where You Can Find More Information.”</w:t>
      </w:r>
    </w:p>
    <w:p>
      <w:pPr>
        <w:spacing w:after="0" w:line="93" w:lineRule="exact"/>
        <w:rPr>
          <w:sz w:val="20"/>
          <w:szCs w:val="20"/>
          <w:color w:val="auto"/>
        </w:rPr>
      </w:pPr>
    </w:p>
    <w:p>
      <w:pPr>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No person has been authorized to give any information or to make any representations, other than those contained or incorporated by reference in this prospectus and, if given or made, such information or representation must not be relied upon as having been authorized by Principal Financial Group, Inc. or Principal Financial Services, Inc., or any underwriter, agent, dealer or remarketing firm. Neither the delivery of this prospectus nor any sale made hereunder shall under any circumstances create any implication that there has been no change in the affairs of Principal Financial Group, Inc. or Principal Financial Services, Inc. since the date hereof or that the information contained or incorporated by reference herein is correct as of any time subsequent to the date of such information. This prospectus does not constitute an offer to sell or a solicitation of an offer to buy any securities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88" w:lineRule="exact"/>
        <w:rPr>
          <w:sz w:val="20"/>
          <w:szCs w:val="20"/>
          <w:color w:val="auto"/>
        </w:rPr>
      </w:pPr>
    </w:p>
    <w:p>
      <w:pPr>
        <w:ind w:left="1360" w:right="1379" w:firstLine="276"/>
        <w:spacing w:after="0" w:line="256"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references in this prospectus to “Principal,” “we,” “us” and “our” or similar terms are to Principal Financial Group, Inc. and its subsidiaries, references to the “Subsidiary Guarantor” are to Principal Financial Services, Inc., and references to “Principal Life” are to Principal Life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0" w:lineRule="exact"/>
        <w:rPr>
          <w:sz w:val="20"/>
          <w:szCs w:val="20"/>
          <w:color w:val="auto"/>
        </w:rPr>
      </w:pPr>
    </w:p>
    <w:p>
      <w:pPr>
        <w:ind w:left="1360" w:right="1459" w:firstLine="276"/>
        <w:spacing w:after="0" w:line="249" w:lineRule="auto"/>
        <w:rPr>
          <w:sz w:val="20"/>
          <w:szCs w:val="20"/>
          <w:color w:val="auto"/>
        </w:rPr>
      </w:pPr>
      <w:r>
        <w:rPr>
          <w:rFonts w:ascii="Times New Roman" w:cs="Times New Roman" w:eastAsia="Times New Roman" w:hAnsi="Times New Roman"/>
          <w:sz w:val="14"/>
          <w:szCs w:val="14"/>
          <w:color w:val="auto"/>
        </w:rPr>
        <w:t>Certain of the statements contained in this prospectus or incorporated by reference that are not historical facts may be considered forward-looking statements. These forward-looking statements are made pursuant to the safe harbor provisions of the Private Securities Litigation Reform Act of 1995 and include estimates and assumptions related to economic, competitive and legislative developments, capital and liquidity positions, sales and earnings trends, and management’s beliefs, expectations, goals and opinions. Except as required by applicable law, we do not undertake to publicly update these statements, which are based on a number of assumptions concerning future conditions that may ultimately prove to be inaccurate. Future events and their effects on us may not be those anticipated, and actual results may differ materially from the results anticipated in these forward-looking statements. The risks, uncertainties and factors that could cause or contribute to such material differences are discussed in our most recently filed Annual Report on Form 10-K, as updated or supplemented from time to time in subsequent filings. These risks and uncertainties include, without limitation:</w:t>
      </w:r>
    </w:p>
    <w:p>
      <w:pPr>
        <w:spacing w:after="0" w:line="66" w:lineRule="exact"/>
        <w:rPr>
          <w:sz w:val="20"/>
          <w:szCs w:val="20"/>
          <w:color w:val="auto"/>
        </w:rPr>
      </w:pPr>
    </w:p>
    <w:p>
      <w:pPr>
        <w:ind w:left="1780" w:right="1659" w:hanging="147"/>
        <w:spacing w:after="0" w:line="276"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capital and credit market conditions may significantly affect our ability to meet liquidity needs, as well as our access to capital and cost of capital;</w:t>
      </w:r>
    </w:p>
    <w:p>
      <w:pPr>
        <w:spacing w:after="0" w:line="54" w:lineRule="exact"/>
        <w:rPr>
          <w:rFonts w:ascii="Times New Roman" w:cs="Times New Roman" w:eastAsia="Times New Roman" w:hAnsi="Times New Roman"/>
          <w:sz w:val="14"/>
          <w:szCs w:val="14"/>
          <w:color w:val="auto"/>
        </w:rPr>
      </w:pPr>
    </w:p>
    <w:p>
      <w:pPr>
        <w:ind w:left="1780" w:right="1659" w:hanging="147"/>
        <w:spacing w:after="0" w:line="276"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in the global capital markets, including the equity, bond or real estate markets and the economy generally may materially and adversely affect our business and results of operations;</w:t>
      </w:r>
    </w:p>
    <w:p>
      <w:pPr>
        <w:spacing w:after="0" w:line="43" w:lineRule="exact"/>
        <w:rPr>
          <w:rFonts w:ascii="Times New Roman" w:cs="Times New Roman" w:eastAsia="Times New Roman" w:hAnsi="Times New Roman"/>
          <w:sz w:val="14"/>
          <w:szCs w:val="14"/>
          <w:color w:val="auto"/>
        </w:rPr>
      </w:pPr>
    </w:p>
    <w:p>
      <w:pPr>
        <w:ind w:left="1780" w:right="1379" w:hanging="147"/>
        <w:spacing w:after="0" w:line="261"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or credit spreads or a prolonged low interest rate environment may adversely affect our results of operations, financial condition and liquidity and our net income can vary from period to period;</w:t>
      </w:r>
    </w:p>
    <w:p>
      <w:pPr>
        <w:spacing w:after="0" w:line="54" w:lineRule="exact"/>
        <w:rPr>
          <w:rFonts w:ascii="Times New Roman" w:cs="Times New Roman" w:eastAsia="Times New Roman" w:hAnsi="Times New Roman"/>
          <w:sz w:val="14"/>
          <w:szCs w:val="14"/>
          <w:color w:val="auto"/>
        </w:rPr>
      </w:pPr>
    </w:p>
    <w:p>
      <w:pPr>
        <w:ind w:left="1780" w:right="1799" w:hanging="147"/>
        <w:spacing w:after="0" w:line="276"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 portfolio’s risks may reduce asset values, credited returns and overall financial performance;</w:t>
      </w:r>
    </w:p>
    <w:p>
      <w:pPr>
        <w:spacing w:after="0" w:line="43" w:lineRule="exact"/>
        <w:rPr>
          <w:rFonts w:ascii="Times New Roman" w:cs="Times New Roman" w:eastAsia="Times New Roman" w:hAnsi="Times New Roman"/>
          <w:sz w:val="14"/>
          <w:szCs w:val="14"/>
          <w:color w:val="auto"/>
        </w:rPr>
      </w:pPr>
    </w:p>
    <w:p>
      <w:pPr>
        <w:ind w:left="1780" w:right="1379" w:hanging="147"/>
        <w:spacing w:after="0" w:line="256"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valuation of investments and the determinations of the amount of allowances and impairments taken on our investments may include methodologies, estimations and assumptions that are subject to differing interpretations and, if changed, could materially adversely affect our results of operations or financial condition;</w:t>
      </w:r>
    </w:p>
    <w:p>
      <w:pPr>
        <w:spacing w:after="0" w:line="68" w:lineRule="exact"/>
        <w:rPr>
          <w:rFonts w:ascii="Times New Roman" w:cs="Times New Roman" w:eastAsia="Times New Roman" w:hAnsi="Times New Roman"/>
          <w:sz w:val="14"/>
          <w:szCs w:val="14"/>
          <w:color w:val="auto"/>
        </w:rPr>
      </w:pPr>
    </w:p>
    <w:p>
      <w:pPr>
        <w:ind w:left="1780" w:right="1539" w:hanging="147"/>
        <w:spacing w:after="0" w:line="276"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impairments of, or valuation allowances against, our deferred tax assets could adversely affect our results of operations and financial condition;</w:t>
      </w:r>
    </w:p>
    <w:p>
      <w:pPr>
        <w:spacing w:after="0" w:line="43" w:lineRule="exact"/>
        <w:rPr>
          <w:rFonts w:ascii="Times New Roman" w:cs="Times New Roman" w:eastAsia="Times New Roman" w:hAnsi="Times New Roman"/>
          <w:sz w:val="14"/>
          <w:szCs w:val="14"/>
          <w:color w:val="auto"/>
        </w:rPr>
      </w:pPr>
    </w:p>
    <w:p>
      <w:pPr>
        <w:ind w:left="1780" w:right="2079" w:hanging="147"/>
        <w:spacing w:after="0" w:line="276"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face losses on our insurance and annuity products if our actual experience differs significantly from our pricing and reserving assumptions;</w:t>
      </w:r>
    </w:p>
    <w:p>
      <w:pPr>
        <w:spacing w:after="0" w:line="43" w:lineRule="exact"/>
        <w:rPr>
          <w:rFonts w:ascii="Times New Roman" w:cs="Times New Roman" w:eastAsia="Times New Roman" w:hAnsi="Times New Roman"/>
          <w:sz w:val="14"/>
          <w:szCs w:val="14"/>
          <w:color w:val="auto"/>
        </w:rPr>
      </w:pPr>
    </w:p>
    <w:p>
      <w:pPr>
        <w:ind w:left="1780" w:right="1519" w:hanging="147"/>
        <w:spacing w:after="0" w:line="261"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pattern of amortizing our deferred acquisition cost (“DAC”) asset and other actuarial balances may change, impacting both the level of our DAC asset and other actuarial balances and the timing of our net income;</w:t>
      </w:r>
    </w:p>
    <w:p>
      <w:pPr>
        <w:spacing w:after="0" w:line="5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may reduce our profitability or impact how we do business;</w:t>
      </w:r>
    </w:p>
    <w:p>
      <w:pPr>
        <w:spacing w:after="0" w:line="97" w:lineRule="exact"/>
        <w:rPr>
          <w:rFonts w:ascii="Times New Roman" w:cs="Times New Roman" w:eastAsia="Times New Roman" w:hAnsi="Times New Roman"/>
          <w:sz w:val="14"/>
          <w:szCs w:val="14"/>
          <w:color w:val="auto"/>
        </w:rPr>
      </w:pPr>
    </w:p>
    <w:p>
      <w:pPr>
        <w:ind w:left="1780" w:right="1579" w:hanging="147"/>
        <w:spacing w:after="0" w:line="261"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stockholder dividends, make share repurchases and meet our obligations may be constrained by the limitations on dividends or other distributions Iowa insurance laws impose on Principal Life;</w:t>
      </w:r>
    </w:p>
    <w:p>
      <w:pPr>
        <w:spacing w:after="0" w:line="54" w:lineRule="exact"/>
        <w:rPr>
          <w:rFonts w:ascii="Times New Roman" w:cs="Times New Roman" w:eastAsia="Times New Roman" w:hAnsi="Times New Roman"/>
          <w:sz w:val="14"/>
          <w:szCs w:val="14"/>
          <w:color w:val="auto"/>
        </w:rPr>
      </w:pPr>
    </w:p>
    <w:p>
      <w:pPr>
        <w:ind w:left="1780" w:right="1399" w:hanging="147"/>
        <w:spacing w:after="0" w:line="276"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may adversely affect our reported results of operations and financial condition;</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and regulatory investigations may affect our financial strength or reduce our profitability;</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reputation may adversely affect our revenues and profitability;</w:t>
      </w:r>
    </w:p>
    <w:p>
      <w:pPr>
        <w:spacing w:after="0" w:line="9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protect our intellectual property and may be subject to infringement claims;</w:t>
      </w:r>
    </w:p>
    <w:p>
      <w:pPr>
        <w:spacing w:after="0" w:line="87" w:lineRule="exact"/>
        <w:rPr>
          <w:rFonts w:ascii="Times New Roman" w:cs="Times New Roman" w:eastAsia="Times New Roman" w:hAnsi="Times New Roman"/>
          <w:sz w:val="14"/>
          <w:szCs w:val="14"/>
          <w:color w:val="auto"/>
        </w:rPr>
      </w:pPr>
    </w:p>
    <w:p>
      <w:pPr>
        <w:ind w:left="1780" w:right="1439" w:hanging="147"/>
        <w:spacing w:after="0" w:line="276"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may become subject to tax audits, tax litigation or similar proceedings, and as a result we may owe additional taxes, interest and penalties in amounts that may be material;</w:t>
      </w:r>
    </w:p>
    <w:p>
      <w:pPr>
        <w:spacing w:after="0" w:line="43" w:lineRule="exact"/>
        <w:rPr>
          <w:rFonts w:ascii="Times New Roman" w:cs="Times New Roman" w:eastAsia="Times New Roman" w:hAnsi="Times New Roman"/>
          <w:sz w:val="14"/>
          <w:szCs w:val="14"/>
          <w:color w:val="auto"/>
        </w:rPr>
      </w:pPr>
    </w:p>
    <w:p>
      <w:pPr>
        <w:ind w:left="1780" w:right="1759" w:hanging="147"/>
        <w:spacing w:after="0" w:line="276" w:lineRule="auto"/>
        <w:tabs>
          <w:tab w:leader="none" w:pos="1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laws and our certificate of incorporation and by-laws may discourage takeovers and business combinations that some stockholders might consider in their best interests;</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8" w:name="page39"/>
    <w:bookmarkEnd w:id="3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80" w:right="1899" w:hanging="147"/>
        <w:spacing w:after="0" w:line="276"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risk management framework may not identify or mitigate all risks, potentially leading to unexpected losses;</w:t>
      </w:r>
    </w:p>
    <w:p>
      <w:pPr>
        <w:spacing w:after="0" w:line="43" w:lineRule="exact"/>
        <w:rPr>
          <w:rFonts w:ascii="Times New Roman" w:cs="Times New Roman" w:eastAsia="Times New Roman" w:hAnsi="Times New Roman"/>
          <w:sz w:val="14"/>
          <w:szCs w:val="14"/>
          <w:color w:val="auto"/>
        </w:rPr>
      </w:pPr>
    </w:p>
    <w:p>
      <w:pPr>
        <w:ind w:left="1780" w:right="1419" w:hanging="147"/>
        <w:spacing w:after="0" w:line="261"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including from companies that may have greater financial resources, broader arrays of products, higher ratings and stronger financial performance, may impair our ability to retain existing customers, attract new customers and maintain our profitability;</w:t>
      </w:r>
    </w:p>
    <w:p>
      <w:pPr>
        <w:spacing w:after="0" w:line="54" w:lineRule="exact"/>
        <w:rPr>
          <w:rFonts w:ascii="Times New Roman" w:cs="Times New Roman" w:eastAsia="Times New Roman" w:hAnsi="Times New Roman"/>
          <w:sz w:val="14"/>
          <w:szCs w:val="14"/>
          <w:color w:val="auto"/>
        </w:rPr>
      </w:pPr>
    </w:p>
    <w:p>
      <w:pPr>
        <w:ind w:left="1780" w:right="1559" w:hanging="147"/>
        <w:spacing w:after="0" w:line="256"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downgrade in our financial strength or credit ratings may increase policy surrenders and withdrawals, reduce new sales, terminate relationships with distributors, impact existing liabilities and increase our cost of capital, any of which could adversely affect our profitability and financial condition;</w:t>
      </w:r>
    </w:p>
    <w:p>
      <w:pPr>
        <w:spacing w:after="0" w:line="58" w:lineRule="exact"/>
        <w:rPr>
          <w:rFonts w:ascii="Times New Roman" w:cs="Times New Roman" w:eastAsia="Times New Roman" w:hAnsi="Times New Roman"/>
          <w:sz w:val="14"/>
          <w:szCs w:val="14"/>
          <w:color w:val="auto"/>
        </w:rPr>
      </w:pPr>
    </w:p>
    <w:p>
      <w:pPr>
        <w:ind w:left="1780" w:right="1699" w:hanging="147"/>
        <w:spacing w:after="0" w:line="276"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client terminations or withdrawals or changes in investor preferences may lead to a reduction in revenues for our asset management and accumulation businesses;</w:t>
      </w:r>
    </w:p>
    <w:p>
      <w:pPr>
        <w:spacing w:after="0" w:line="43" w:lineRule="exact"/>
        <w:rPr>
          <w:rFonts w:ascii="Times New Roman" w:cs="Times New Roman" w:eastAsia="Times New Roman" w:hAnsi="Times New Roman"/>
          <w:sz w:val="14"/>
          <w:szCs w:val="14"/>
          <w:color w:val="auto"/>
        </w:rPr>
      </w:pPr>
    </w:p>
    <w:p>
      <w:pPr>
        <w:ind w:left="1780" w:right="1419" w:hanging="147"/>
        <w:spacing w:after="0" w:line="261"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within certain of our products that protect policyholders may decrease our net income or increase the volatility of our results of operations or financial position under U.S. generally accepted accounting principles if our hedging or risk management strategies prove ineffective or insufficient;</w:t>
      </w:r>
    </w:p>
    <w:p>
      <w:pPr>
        <w:spacing w:after="0" w:line="54" w:lineRule="exact"/>
        <w:rPr>
          <w:rFonts w:ascii="Times New Roman" w:cs="Times New Roman" w:eastAsia="Times New Roman" w:hAnsi="Times New Roman"/>
          <w:sz w:val="14"/>
          <w:szCs w:val="14"/>
          <w:color w:val="auto"/>
        </w:rPr>
      </w:pPr>
    </w:p>
    <w:p>
      <w:pPr>
        <w:ind w:left="1780" w:right="1619" w:hanging="147"/>
        <w:spacing w:after="0" w:line="276"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international businesses face political, legal, operational and other risks that could reduce our profitability in those businesses;</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arising from fraudulent activities;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arising from vendor failures or data breaches;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arising from our participation in joint ventures;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fund deficiencies in our “Closed Block” assets;</w:t>
      </w:r>
    </w:p>
    <w:p>
      <w:pPr>
        <w:spacing w:after="0" w:line="87" w:lineRule="exact"/>
        <w:rPr>
          <w:rFonts w:ascii="Times New Roman" w:cs="Times New Roman" w:eastAsia="Times New Roman" w:hAnsi="Times New Roman"/>
          <w:sz w:val="14"/>
          <w:szCs w:val="14"/>
          <w:color w:val="auto"/>
        </w:rPr>
      </w:pPr>
    </w:p>
    <w:p>
      <w:pPr>
        <w:ind w:left="1780" w:right="1399" w:hanging="147"/>
        <w:spacing w:after="0" w:line="276"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reinsurers could default on their obligations or increase their rates, which could adversely impact our net income and financial condition;</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arising from future acquisitions of businesses;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in administering coinsurance with funds withheld reinsurance agreements;</w:t>
      </w:r>
    </w:p>
    <w:p>
      <w:pPr>
        <w:spacing w:after="0" w:line="87" w:lineRule="exact"/>
        <w:rPr>
          <w:rFonts w:ascii="Times New Roman" w:cs="Times New Roman" w:eastAsia="Times New Roman" w:hAnsi="Times New Roman"/>
          <w:sz w:val="14"/>
          <w:szCs w:val="14"/>
          <w:color w:val="auto"/>
        </w:rPr>
      </w:pPr>
    </w:p>
    <w:p>
      <w:pPr>
        <w:jc w:val="both"/>
        <w:ind w:left="1780" w:right="1679" w:hanging="147"/>
        <w:spacing w:after="0" w:line="261"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develop and retain qualified employees and sales representatives and develop new distribution sources, our results of operations, financial condition, strategic growth commitments and sales of our products may be adversely impacted;</w:t>
      </w:r>
    </w:p>
    <w:p>
      <w:pPr>
        <w:spacing w:after="0" w:line="54" w:lineRule="exact"/>
        <w:rPr>
          <w:rFonts w:ascii="Times New Roman" w:cs="Times New Roman" w:eastAsia="Times New Roman" w:hAnsi="Times New Roman"/>
          <w:sz w:val="14"/>
          <w:szCs w:val="14"/>
          <w:color w:val="auto"/>
        </w:rPr>
      </w:pPr>
    </w:p>
    <w:p>
      <w:pPr>
        <w:ind w:left="1780" w:right="1479" w:hanging="147"/>
        <w:spacing w:after="0" w:line="256" w:lineRule="auto"/>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in information technology, infrastructure or other internal or external systems used for our business operations, or a failure to maintain the confidentiality, integrity or availability of data residing on such systems, could disrupt our business, damage our reputation and adversely impact our profitability;</w:t>
      </w:r>
    </w:p>
    <w:p>
      <w:pPr>
        <w:spacing w:after="0" w:line="58"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results may be adversely impacted by global climate changes; and</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catastrophic events could adversely affect our operations, net income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9" w:name="page40"/>
    <w:bookmarkEnd w:id="39"/>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 REGARDING RELIANCE ON STATEMENTS IN OUR CONTRACTS</w:t>
      </w:r>
    </w:p>
    <w:p>
      <w:pPr>
        <w:spacing w:after="0" w:line="120" w:lineRule="exact"/>
        <w:rPr>
          <w:sz w:val="20"/>
          <w:szCs w:val="20"/>
          <w:color w:val="auto"/>
        </w:rPr>
      </w:pPr>
    </w:p>
    <w:p>
      <w:pPr>
        <w:ind w:left="1360" w:right="1419" w:firstLine="276"/>
        <w:spacing w:after="0" w:line="251" w:lineRule="auto"/>
        <w:rPr>
          <w:sz w:val="20"/>
          <w:szCs w:val="20"/>
          <w:color w:val="auto"/>
        </w:rPr>
      </w:pPr>
      <w:r>
        <w:rPr>
          <w:rFonts w:ascii="Times New Roman" w:cs="Times New Roman" w:eastAsia="Times New Roman" w:hAnsi="Times New Roman"/>
          <w:sz w:val="14"/>
          <w:szCs w:val="14"/>
          <w:color w:val="auto"/>
        </w:rPr>
        <w:t>In reviewing the agreements included as exhibits to any of the documents incorporated by reference into this prospectus and the accompanying prospectus supplements, please remember that they are included to provide you with information regarding their terms and are not intended to provide any other factual or disclosure information about Principal, its subsidiaries or the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64" w:lineRule="exact"/>
        <w:rPr>
          <w:sz w:val="20"/>
          <w:szCs w:val="20"/>
          <w:color w:val="auto"/>
        </w:rPr>
      </w:pPr>
    </w:p>
    <w:p>
      <w:pPr>
        <w:ind w:left="1780" w:right="1919" w:hanging="147"/>
        <w:spacing w:after="0" w:line="276" w:lineRule="auto"/>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not in all instances be treated as categorical statements of fact, but rather as a way of allocating the risk to one of the parties if those statements prove to be inaccurate;</w:t>
      </w:r>
    </w:p>
    <w:p>
      <w:pPr>
        <w:spacing w:after="0" w:line="43" w:lineRule="exact"/>
        <w:rPr>
          <w:rFonts w:ascii="Times New Roman" w:cs="Times New Roman" w:eastAsia="Times New Roman" w:hAnsi="Times New Roman"/>
          <w:sz w:val="14"/>
          <w:szCs w:val="14"/>
          <w:color w:val="auto"/>
        </w:rPr>
      </w:pPr>
    </w:p>
    <w:p>
      <w:pPr>
        <w:ind w:left="1780" w:right="1819" w:hanging="147"/>
        <w:spacing w:after="0" w:line="261" w:lineRule="auto"/>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qualified by disclosures that were made to the other party in connection with the negotiation of the applicable agreement, which disclosures are not necessarily reflected in the agreement;</w:t>
      </w:r>
    </w:p>
    <w:p>
      <w:pPr>
        <w:spacing w:after="0" w:line="54" w:lineRule="exact"/>
        <w:rPr>
          <w:rFonts w:ascii="Times New Roman" w:cs="Times New Roman" w:eastAsia="Times New Roman" w:hAnsi="Times New Roman"/>
          <w:sz w:val="14"/>
          <w:szCs w:val="14"/>
          <w:color w:val="auto"/>
        </w:rPr>
      </w:pPr>
    </w:p>
    <w:p>
      <w:pPr>
        <w:ind w:left="1780" w:right="1439" w:hanging="147"/>
        <w:spacing w:after="0" w:line="276" w:lineRule="auto"/>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apply standards of materiality in a way that is different from what may be viewed as material to investors; and</w:t>
      </w:r>
    </w:p>
    <w:p>
      <w:pPr>
        <w:spacing w:after="0" w:line="43" w:lineRule="exact"/>
        <w:rPr>
          <w:rFonts w:ascii="Times New Roman" w:cs="Times New Roman" w:eastAsia="Times New Roman" w:hAnsi="Times New Roman"/>
          <w:sz w:val="14"/>
          <w:szCs w:val="14"/>
          <w:color w:val="auto"/>
        </w:rPr>
      </w:pPr>
    </w:p>
    <w:p>
      <w:pPr>
        <w:ind w:left="1780" w:right="1699" w:hanging="147"/>
        <w:spacing w:after="0" w:line="276" w:lineRule="auto"/>
        <w:tabs>
          <w:tab w:leader="none" w:pos="1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made only as of the date of the applicable agreement or such other date or dates as may be specified in the agreement and are subject to more recent developments.</w:t>
      </w:r>
    </w:p>
    <w:p>
      <w:pPr>
        <w:spacing w:after="0" w:line="75" w:lineRule="exact"/>
        <w:rPr>
          <w:sz w:val="20"/>
          <w:szCs w:val="20"/>
          <w:color w:val="auto"/>
        </w:rPr>
      </w:pPr>
    </w:p>
    <w:p>
      <w:pPr>
        <w:ind w:left="1360" w:right="1379" w:firstLine="276"/>
        <w:spacing w:after="0" w:line="256" w:lineRule="auto"/>
        <w:rPr>
          <w:sz w:val="20"/>
          <w:szCs w:val="20"/>
          <w:color w:val="auto"/>
        </w:rPr>
      </w:pPr>
      <w:r>
        <w:rPr>
          <w:rFonts w:ascii="Times New Roman" w:cs="Times New Roman" w:eastAsia="Times New Roman" w:hAnsi="Times New Roman"/>
          <w:sz w:val="14"/>
          <w:szCs w:val="14"/>
          <w:color w:val="auto"/>
        </w:rPr>
        <w:t>Accordingly, these representations and warranties may not describe the actual state of affairs as of the date they were made or at any other time. Additional information about Principal and its subsidiaries may be found elsewhere in this prospectus and the accompanying prospectus supplement, as well as Principal’s other public filings, which are available without charge through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0" w:name="page41"/>
    <w:bookmarkEnd w:id="40"/>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GROUP, INC.</w:t>
      </w:r>
    </w:p>
    <w:p>
      <w:pPr>
        <w:spacing w:after="0" w:line="120" w:lineRule="exact"/>
        <w:rPr>
          <w:sz w:val="20"/>
          <w:szCs w:val="20"/>
          <w:color w:val="auto"/>
        </w:rPr>
      </w:pPr>
    </w:p>
    <w:p>
      <w:pPr>
        <w:ind w:left="1360" w:right="1459" w:firstLine="276"/>
        <w:spacing w:after="0" w:line="254" w:lineRule="auto"/>
        <w:rPr>
          <w:sz w:val="20"/>
          <w:szCs w:val="20"/>
          <w:color w:val="auto"/>
        </w:rPr>
      </w:pPr>
      <w:r>
        <w:rPr>
          <w:rFonts w:ascii="Times New Roman" w:cs="Times New Roman" w:eastAsia="Times New Roman" w:hAnsi="Times New Roman"/>
          <w:sz w:val="14"/>
          <w:szCs w:val="14"/>
          <w:color w:val="auto"/>
        </w:rPr>
        <w:t>Principal Financial Group, Inc. is a leader in global financial services, offering businesses, individuals and institutional clients a wide range of financial products and services, including retirement, asset management and workplace benefits and protection solutions through our diverse family of financial services companies. We had $1,814.6 billion in assets under administration, including $781.0 billion in assets under management as of December 31, 2025.</w:t>
      </w:r>
    </w:p>
    <w:p>
      <w:pPr>
        <w:spacing w:after="0" w:line="90" w:lineRule="exact"/>
        <w:rPr>
          <w:sz w:val="20"/>
          <w:szCs w:val="20"/>
          <w:color w:val="auto"/>
        </w:rPr>
      </w:pPr>
    </w:p>
    <w:p>
      <w:pPr>
        <w:ind w:left="1360" w:right="1419" w:firstLine="276"/>
        <w:spacing w:after="0" w:line="252" w:lineRule="auto"/>
        <w:rPr>
          <w:sz w:val="20"/>
          <w:szCs w:val="20"/>
          <w:color w:val="auto"/>
        </w:rPr>
      </w:pPr>
      <w:r>
        <w:rPr>
          <w:rFonts w:ascii="Times New Roman" w:cs="Times New Roman" w:eastAsia="Times New Roman" w:hAnsi="Times New Roman"/>
          <w:sz w:val="14"/>
          <w:szCs w:val="14"/>
          <w:color w:val="auto"/>
        </w:rPr>
        <w:t>Our global asset management businesses serve a broad range of institutional, retirement, high net worth, and retail investors worldwide. Our focused investment teams provide diverse, long-term investment capabilities including equity, fixed income, real estate, and other alternative investments, as well as fund offerings. Our international asset management and accumulation businesses focus on the opportunities created as aging populations around the world drive increased demand for retirement accumulation, retirement asset management and retirement income management solutions.</w:t>
      </w:r>
    </w:p>
    <w:p>
      <w:pPr>
        <w:spacing w:after="0" w:line="83" w:lineRule="exact"/>
        <w:rPr>
          <w:sz w:val="20"/>
          <w:szCs w:val="20"/>
          <w:color w:val="auto"/>
        </w:rPr>
      </w:pPr>
    </w:p>
    <w:p>
      <w:pPr>
        <w:ind w:left="1360" w:right="1479" w:firstLine="276"/>
        <w:spacing w:after="0" w:line="251" w:lineRule="auto"/>
        <w:rPr>
          <w:sz w:val="20"/>
          <w:szCs w:val="20"/>
          <w:color w:val="auto"/>
        </w:rPr>
      </w:pPr>
      <w:r>
        <w:rPr>
          <w:rFonts w:ascii="Times New Roman" w:cs="Times New Roman" w:eastAsia="Times New Roman" w:hAnsi="Times New Roman"/>
          <w:sz w:val="14"/>
          <w:szCs w:val="14"/>
          <w:color w:val="auto"/>
        </w:rPr>
        <w:t>In the U.S., we offer a broad array of retirement and employee benefit and insurance solutions to meet the needs of the business owner and their employees. We are a leading provider of defined contribution plans, nonqualified plans, defined benefit plans and pension risk transfer services. We are also a leading employee stock ownership plan consultant. In addition, we are one of the largest providers of specialty benefits and insurance solutions for business owners and their employees. We believe small and medium-sized businesses are an underserved market, offering attractive growth opportunities in the retirement and employee benefit markets.</w:t>
      </w:r>
    </w:p>
    <w:p>
      <w:pPr>
        <w:spacing w:after="0" w:line="95" w:lineRule="exact"/>
        <w:rPr>
          <w:sz w:val="20"/>
          <w:szCs w:val="20"/>
          <w:color w:val="auto"/>
        </w:rPr>
      </w:pPr>
    </w:p>
    <w:p>
      <w:pPr>
        <w:ind w:left="1360" w:right="1619" w:firstLine="276"/>
        <w:spacing w:after="0" w:line="261" w:lineRule="auto"/>
        <w:rPr>
          <w:sz w:val="20"/>
          <w:szCs w:val="20"/>
          <w:color w:val="auto"/>
        </w:rPr>
      </w:pPr>
      <w:r>
        <w:rPr>
          <w:rFonts w:ascii="Times New Roman" w:cs="Times New Roman" w:eastAsia="Times New Roman" w:hAnsi="Times New Roman"/>
          <w:sz w:val="14"/>
          <w:szCs w:val="14"/>
          <w:color w:val="auto"/>
        </w:rPr>
        <w:t>The principal executive office for both Principal Financial Group, Inc. and Principal Financial Services, Inc. is located at 711 High Street, Des Moines, Iowa 50392, and the telephone number is (515) 247-5111.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1" w:name="page42"/>
    <w:bookmarkEnd w:id="41"/>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0" w:lineRule="exact"/>
        <w:rPr>
          <w:sz w:val="20"/>
          <w:szCs w:val="20"/>
          <w:color w:val="auto"/>
        </w:rPr>
      </w:pPr>
    </w:p>
    <w:p>
      <w:pPr>
        <w:ind w:left="1360" w:right="1399" w:firstLine="276"/>
        <w:spacing w:after="0" w:line="258" w:lineRule="auto"/>
        <w:rPr>
          <w:sz w:val="20"/>
          <w:szCs w:val="20"/>
          <w:color w:val="auto"/>
        </w:rPr>
      </w:pPr>
      <w:r>
        <w:rPr>
          <w:rFonts w:ascii="Times New Roman" w:cs="Times New Roman" w:eastAsia="Times New Roman" w:hAnsi="Times New Roman"/>
          <w:sz w:val="14"/>
          <w:szCs w:val="14"/>
          <w:color w:val="auto"/>
        </w:rPr>
        <w:t>Investing in our securities involves risks. You should carefully consider the risk factors incorporated by reference to our most recent Annual Report on Form 10-K and any subsequent Quarterly Reports on</w:t>
      </w:r>
    </w:p>
    <w:p>
      <w:pPr>
        <w:ind w:left="1360" w:right="1379"/>
        <w:spacing w:after="0" w:line="248" w:lineRule="auto"/>
        <w:rPr>
          <w:sz w:val="20"/>
          <w:szCs w:val="20"/>
          <w:color w:val="auto"/>
        </w:rPr>
      </w:pPr>
      <w:r>
        <w:rPr>
          <w:rFonts w:ascii="Times New Roman" w:cs="Times New Roman" w:eastAsia="Times New Roman" w:hAnsi="Times New Roman"/>
          <w:sz w:val="14"/>
          <w:szCs w:val="14"/>
          <w:color w:val="auto"/>
        </w:rPr>
        <w:t>Form 10-Q or Current Reports on Form 8-K we file after the date of this prospectus, and all other information contained or incorporated by reference into this prospectus, as updated by our subsequent filings under the Securities Exchange Act of 1934, as amended (the “Exchange Act”), as well as the risk factors and other information contained in the applicable prospectus supplement before making a decision to invest in our securities. See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2" w:name="page43"/>
    <w:bookmarkEnd w:id="42"/>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0" w:lineRule="exact"/>
        <w:rPr>
          <w:sz w:val="20"/>
          <w:szCs w:val="20"/>
          <w:color w:val="auto"/>
        </w:rPr>
      </w:pPr>
    </w:p>
    <w:p>
      <w:pPr>
        <w:ind w:left="1360" w:right="1399" w:firstLine="276"/>
        <w:spacing w:after="0" w:line="254" w:lineRule="auto"/>
        <w:rPr>
          <w:sz w:val="20"/>
          <w:szCs w:val="20"/>
          <w:color w:val="auto"/>
        </w:rPr>
      </w:pPr>
      <w:r>
        <w:rPr>
          <w:rFonts w:ascii="Times New Roman" w:cs="Times New Roman" w:eastAsia="Times New Roman" w:hAnsi="Times New Roman"/>
          <w:sz w:val="14"/>
          <w:szCs w:val="14"/>
          <w:color w:val="auto"/>
        </w:rPr>
        <w:t>Unless we state otherwise in a prospectus supplement, we intend to use the proceeds from the sale of the securities offered by this prospectus for general corporate purposes, including working capital, capital expenditures, investments in subsidiaries, acquisitions and refinancing of debt, including commercial paper and other short-term indebtedness. We will include a more detailed description of the use of proceeds of any specific offering of securities in the prospectus supplement relating to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3" w:name="page44"/>
    <w:bookmarkEnd w:id="43"/>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GUARANTEE OF PRINCIPAL FINANCIAL SERVICES, INC.</w:t>
      </w:r>
    </w:p>
    <w:p>
      <w:pPr>
        <w:spacing w:after="0" w:line="120" w:lineRule="exact"/>
        <w:rPr>
          <w:sz w:val="20"/>
          <w:szCs w:val="20"/>
          <w:color w:val="auto"/>
        </w:rPr>
      </w:pPr>
    </w:p>
    <w:p>
      <w:pPr>
        <w:ind w:left="1360" w:right="1659" w:firstLine="276"/>
        <w:spacing w:after="0" w:line="261" w:lineRule="auto"/>
        <w:rPr>
          <w:sz w:val="20"/>
          <w:szCs w:val="20"/>
          <w:color w:val="auto"/>
        </w:rPr>
      </w:pPr>
      <w:r>
        <w:rPr>
          <w:rFonts w:ascii="Times New Roman" w:cs="Times New Roman" w:eastAsia="Times New Roman" w:hAnsi="Times New Roman"/>
          <w:sz w:val="14"/>
          <w:szCs w:val="14"/>
          <w:color w:val="auto"/>
        </w:rPr>
        <w:t>Principal Financial Services, Inc. may guarantee, fully and unconditionally or otherwise, our obligations with respect to any non-convertible securities, other than common stock, as described in the applicable prospectus supplement.</w:t>
      </w:r>
    </w:p>
    <w:p>
      <w:pPr>
        <w:spacing w:after="0" w:line="85" w:lineRule="exact"/>
        <w:rPr>
          <w:sz w:val="20"/>
          <w:szCs w:val="20"/>
          <w:color w:val="auto"/>
        </w:rPr>
      </w:pPr>
    </w:p>
    <w:p>
      <w:pPr>
        <w:ind w:left="1360" w:right="1439" w:firstLine="276"/>
        <w:spacing w:after="0" w:line="252" w:lineRule="auto"/>
        <w:rPr>
          <w:sz w:val="20"/>
          <w:szCs w:val="20"/>
          <w:color w:val="auto"/>
        </w:rPr>
      </w:pPr>
      <w:r>
        <w:rPr>
          <w:rFonts w:ascii="Times New Roman" w:cs="Times New Roman" w:eastAsia="Times New Roman" w:hAnsi="Times New Roman"/>
          <w:sz w:val="14"/>
          <w:szCs w:val="14"/>
          <w:color w:val="auto"/>
        </w:rPr>
        <w:t>If Principal Financial Services, Inc. guarantees these obligations under any such securities, we will tell you in the applicable prospectus supplement and describe the terms of such subsidiary guarantee, which we refer to as the “subsidiary guarantee,” in such prospectus supplement. Unless we tell you otherwise in the applicable prospectus supplement, the subsidiary guarantee will be an unsecured obligation of Principal Financial Services, Inc. and will be enforceable against Principal Financial Services, Inc. without any need to first enforce against Principal Financial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4" w:name="page45"/>
    <w:bookmarkEnd w:id="44"/>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0" w:lineRule="exact"/>
        <w:rPr>
          <w:sz w:val="20"/>
          <w:szCs w:val="20"/>
          <w:color w:val="auto"/>
        </w:rPr>
      </w:pPr>
    </w:p>
    <w:p>
      <w:pPr>
        <w:ind w:left="1360" w:right="1419" w:firstLine="276"/>
        <w:spacing w:after="0" w:line="254" w:lineRule="auto"/>
        <w:rPr>
          <w:sz w:val="20"/>
          <w:szCs w:val="20"/>
          <w:color w:val="auto"/>
        </w:rPr>
      </w:pPr>
      <w:r>
        <w:rPr>
          <w:rFonts w:ascii="Times New Roman" w:cs="Times New Roman" w:eastAsia="Times New Roman" w:hAnsi="Times New Roman"/>
          <w:sz w:val="14"/>
          <w:szCs w:val="14"/>
          <w:color w:val="auto"/>
        </w:rPr>
        <w:t>We may offer unsecured senior debt securities or subordinated debt securities. We refer to the senior debt securities and the subordinated debt securities together in this prospectus as the “debt securities.” The senior debt securities will rank equally in right of payment with all of our other unsecured, unsubordinated obligations. The subordinated debt securities will be subordinate and junior in right of payment to all of our senior debt.</w:t>
      </w:r>
    </w:p>
    <w:p>
      <w:pPr>
        <w:spacing w:after="0" w:line="90" w:lineRule="exact"/>
        <w:rPr>
          <w:sz w:val="20"/>
          <w:szCs w:val="20"/>
          <w:color w:val="auto"/>
        </w:rPr>
      </w:pPr>
    </w:p>
    <w:p>
      <w:pPr>
        <w:ind w:left="1360" w:right="1399" w:firstLine="276"/>
        <w:spacing w:after="0" w:line="250" w:lineRule="auto"/>
        <w:rPr>
          <w:sz w:val="20"/>
          <w:szCs w:val="20"/>
          <w:color w:val="auto"/>
        </w:rPr>
      </w:pPr>
      <w:r>
        <w:rPr>
          <w:rFonts w:ascii="Times New Roman" w:cs="Times New Roman" w:eastAsia="Times New Roman" w:hAnsi="Times New Roman"/>
          <w:sz w:val="14"/>
          <w:szCs w:val="14"/>
          <w:color w:val="auto"/>
        </w:rPr>
        <w:t>We will issue the senior debt securities in one or more series under an indenture, which we refer to as the “senior indenture,” entered into among us, Principal Financial Services, Inc. which we refer to in this prospectus as the Subsidiary Guarantor, as guarantor, and The Bank of New York Mellon Trust Company, N.A., as trustee, dated as of May 21, 2009. We will issue subordinated debt securities in one or more series under an indenture, which we refer to as the “subordinated indenture,” to be entered into, among us, the Subsidiary Guarantor, as guarantor, and The Bank of New York Mellon Trust Company, N.A., as trustee. In this prospectus, we refer to the senior indenture and the subordinated indenture as “the indentures,” and The Bank of New York Mellon Trust Company, N.A., in its capacity as trustee under each indenture and under the junior subordinated indenture (as defined below), as the “trustee” or the “trustees,” as the context requires.</w:t>
      </w:r>
    </w:p>
    <w:p>
      <w:pPr>
        <w:spacing w:after="0" w:line="250" w:lineRule="exact"/>
        <w:rPr>
          <w:sz w:val="20"/>
          <w:szCs w:val="20"/>
          <w:color w:val="auto"/>
        </w:rPr>
      </w:pPr>
    </w:p>
    <w:p>
      <w:pPr>
        <w:ind w:left="1360" w:right="1419" w:firstLine="276"/>
        <w:spacing w:after="0" w:line="254" w:lineRule="auto"/>
        <w:rPr>
          <w:sz w:val="20"/>
          <w:szCs w:val="20"/>
          <w:color w:val="auto"/>
        </w:rPr>
      </w:pPr>
      <w:r>
        <w:rPr>
          <w:rFonts w:ascii="Times New Roman" w:cs="Times New Roman" w:eastAsia="Times New Roman" w:hAnsi="Times New Roman"/>
          <w:sz w:val="14"/>
          <w:szCs w:val="14"/>
          <w:color w:val="auto"/>
        </w:rPr>
        <w:t>We may from time to time without notice to, or the consent of, the holders of the debt securities, create and issue additional debt securities under the indentures having the same terms and conditions as existing debt securities, so that such additional debt securities may be consolidated and form a single series with existing debt securities and have the same terms as to ranking, status, redemption and otherwise as existing debt securities.</w:t>
      </w:r>
    </w:p>
    <w:p>
      <w:pPr>
        <w:spacing w:after="0" w:line="90" w:lineRule="exact"/>
        <w:rPr>
          <w:sz w:val="20"/>
          <w:szCs w:val="20"/>
          <w:color w:val="auto"/>
        </w:rPr>
      </w:pPr>
    </w:p>
    <w:p>
      <w:pPr>
        <w:ind w:left="1360" w:right="1399" w:firstLine="276"/>
        <w:spacing w:after="0" w:line="251" w:lineRule="auto"/>
        <w:rPr>
          <w:sz w:val="20"/>
          <w:szCs w:val="20"/>
          <w:color w:val="auto"/>
        </w:rPr>
      </w:pPr>
      <w:r>
        <w:rPr>
          <w:rFonts w:ascii="Times New Roman" w:cs="Times New Roman" w:eastAsia="Times New Roman" w:hAnsi="Times New Roman"/>
          <w:sz w:val="14"/>
          <w:szCs w:val="14"/>
          <w:color w:val="auto"/>
        </w:rPr>
        <w:t>The following description of the terms of the indentures is a summary. It summarizes only those portions of the indentures which we believe will be most important to your decision to invest in our debt securities. You should keep in mind, however, that it is the indentures, and not this summary, which define your rights as a holder of our debt securities. There may be other provisions in the indentures which are also important to you. You should read the indentures for a full description of the terms of the debt securities. The senior indenture and the form of subordinated indenture are filed as exhibits to the registration statement that includes this prospectus. See “Where You Can Find More Information” for information on how to obtain copies of the senior indenture and the subordinated indenture.</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The Debt Securities Are Unsecured Obligations</w:t>
      </w:r>
    </w:p>
    <w:p>
      <w:pPr>
        <w:spacing w:after="0" w:line="120" w:lineRule="exact"/>
        <w:rPr>
          <w:sz w:val="20"/>
          <w:szCs w:val="20"/>
          <w:color w:val="auto"/>
        </w:rPr>
      </w:pPr>
    </w:p>
    <w:p>
      <w:pPr>
        <w:ind w:left="1360" w:right="1659" w:firstLine="276"/>
        <w:spacing w:after="0" w:line="276" w:lineRule="auto"/>
        <w:rPr>
          <w:sz w:val="20"/>
          <w:szCs w:val="20"/>
          <w:color w:val="auto"/>
        </w:rPr>
      </w:pPr>
      <w:r>
        <w:rPr>
          <w:rFonts w:ascii="Times New Roman" w:cs="Times New Roman" w:eastAsia="Times New Roman" w:hAnsi="Times New Roman"/>
          <w:sz w:val="14"/>
          <w:szCs w:val="14"/>
          <w:color w:val="auto"/>
        </w:rPr>
        <w:t>Our debt securities will be unsecured obligations and our senior debt securities will rank equally in right of payment with all of our other senior unsecured and unsubordinated obligations.</w:t>
      </w:r>
    </w:p>
    <w:p>
      <w:pPr>
        <w:spacing w:after="0" w:line="64" w:lineRule="exact"/>
        <w:rPr>
          <w:sz w:val="20"/>
          <w:szCs w:val="20"/>
          <w:color w:val="auto"/>
        </w:rPr>
      </w:pPr>
    </w:p>
    <w:p>
      <w:pPr>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We are an insurance holding company with no direct operations whose assets include all of the outstanding shares of common stock of the Subsidiary Guarantor. The Subsidiary Guarantor is an intermediary holding company with no direct operations whose assets include all of the outstanding shares of Principal Life and other subsidiaries. As a consequence, our ability to satisfy our obligations under the debt securities and the Subsidiary Guarantor’s ability to satisfy its obligations under the subsidiary guarantee will depend in large part on the ability of our insurance company and other subsidiaries to declare and distribute dividends or to advance money in the form of intercompany loans. Our insurance company subsidiaries are subject to various statutory and regulatory restrictions, applicable to insurance companies generally, that limit the amount of cash dividends, loans and advances that those subsidiaries may pay. Regulations relating to capital requirements affecting some of our other subsidiaries also restrict their ability to pay dividends and other distributions and make loans to us. The payment of dividends from Principal Life to the Subsidiary Guarantor is subject to restrictions set forth in the insurance laws of the State of Iowa. As a result, our cash flows and ability to service our obligations, including the debt securities, are dependent upon the earnings of our subsidiaries, distributions of those earnings to us and other payments or distributions of funds by our subsidiaries to us. In addition, the debt securities will be effectively subordinated to all existing and future liabilities of our subsidiaries, including those of the Subsidiary Guarantor, and the subsidiary guarantee will be effectively subordinated to all existing and future liabilities of the Subsidiary Guarantor’s subsidiaries, including obligations to policyholders.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5" w:name="page46"/>
    <w:bookmarkEnd w:id="4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59" w:firstLine="276"/>
        <w:spacing w:after="0" w:line="246"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indentures do not limit us from incurring or issuing other secured or unsecured debt under either of the indentures or any other indenture that we may have entered into or enter into in the future. See “— Subordination under the Subordinated Indenture” and the prospectus supplement relating to any offering of subordinated debt securities.</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Terms of the Debt Securities</w:t>
      </w:r>
    </w:p>
    <w:p>
      <w:pPr>
        <w:spacing w:after="0" w:line="110" w:lineRule="exact"/>
        <w:rPr>
          <w:sz w:val="20"/>
          <w:szCs w:val="20"/>
          <w:color w:val="auto"/>
        </w:rPr>
      </w:pPr>
    </w:p>
    <w:p>
      <w:pPr>
        <w:ind w:left="1360" w:right="1399" w:firstLine="276"/>
        <w:spacing w:after="0" w:line="254" w:lineRule="auto"/>
        <w:rPr>
          <w:sz w:val="20"/>
          <w:szCs w:val="20"/>
          <w:color w:val="auto"/>
        </w:rPr>
      </w:pPr>
      <w:r>
        <w:rPr>
          <w:rFonts w:ascii="Times New Roman" w:cs="Times New Roman" w:eastAsia="Times New Roman" w:hAnsi="Times New Roman"/>
          <w:sz w:val="14"/>
          <w:szCs w:val="14"/>
          <w:color w:val="auto"/>
        </w:rPr>
        <w:t>We may issue the debt securities in one or more series through an indenture that supplements the senior indenture or the subordinated indenture or through a resolution of our board of directors or an authorized committee of our board of directors.</w:t>
      </w:r>
    </w:p>
    <w:p>
      <w:pPr>
        <w:spacing w:after="0" w:line="7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You should refer to the applicable prospectus supplement for the specific terms of the debt securities.</w:t>
      </w:r>
    </w:p>
    <w:p>
      <w:pPr>
        <w:spacing w:after="0" w:line="1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These terms may include the following:</w:t>
      </w:r>
    </w:p>
    <w:p>
      <w:pPr>
        <w:spacing w:after="0" w:line="61" w:lineRule="exact"/>
        <w:rPr>
          <w:sz w:val="20"/>
          <w:szCs w:val="20"/>
          <w:color w:val="auto"/>
        </w:rPr>
      </w:pPr>
    </w:p>
    <w:p>
      <w:pPr>
        <w:ind w:left="1780" w:hanging="1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the debt securities,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series,</w:t>
      </w:r>
    </w:p>
    <w:p>
      <w:pPr>
        <w:spacing w:after="0" w:line="7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date(s) or the method of determining the maturity date(s),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or the method of determining the interest rate(s),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dates on which interest will be payable and circumstances, if any, in which interest may be deferred,</w:t>
      </w:r>
    </w:p>
    <w:p>
      <w:pPr>
        <w:spacing w:after="0" w:line="7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dates from which interest will accrue and the method of determining those dates,</w:t>
      </w:r>
    </w:p>
    <w:p>
      <w:pPr>
        <w:spacing w:after="0" w:line="87" w:lineRule="exact"/>
        <w:rPr>
          <w:rFonts w:ascii="Times New Roman" w:cs="Times New Roman" w:eastAsia="Times New Roman" w:hAnsi="Times New Roman"/>
          <w:sz w:val="14"/>
          <w:szCs w:val="14"/>
          <w:color w:val="auto"/>
        </w:rPr>
      </w:pPr>
    </w:p>
    <w:p>
      <w:pPr>
        <w:ind w:left="1780" w:right="1819" w:hanging="147"/>
        <w:spacing w:after="0" w:line="276"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or places where we may pay principal, premium, if any, and interest and where you may present the debt securities for registration or transfer or exchange,</w:t>
      </w:r>
    </w:p>
    <w:p>
      <w:pPr>
        <w:spacing w:after="0" w:line="33" w:lineRule="exact"/>
        <w:rPr>
          <w:rFonts w:ascii="Times New Roman" w:cs="Times New Roman" w:eastAsia="Times New Roman" w:hAnsi="Times New Roman"/>
          <w:sz w:val="14"/>
          <w:szCs w:val="14"/>
          <w:color w:val="auto"/>
        </w:rPr>
      </w:pPr>
    </w:p>
    <w:p>
      <w:pPr>
        <w:ind w:left="1780" w:right="1499" w:hanging="147"/>
        <w:spacing w:after="0" w:line="276"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or places where notices and demands relating to the debt securities and the indentures may be made,</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payment provisions pursuant to any sinking fund or similar provisions,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 if other than denominations of $1,000 or integral multiples of $1,000,</w:t>
      </w:r>
    </w:p>
    <w:p>
      <w:pPr>
        <w:spacing w:after="0" w:line="77" w:lineRule="exact"/>
        <w:rPr>
          <w:rFonts w:ascii="Times New Roman" w:cs="Times New Roman" w:eastAsia="Times New Roman" w:hAnsi="Times New Roman"/>
          <w:sz w:val="14"/>
          <w:szCs w:val="14"/>
          <w:color w:val="auto"/>
        </w:rPr>
      </w:pPr>
    </w:p>
    <w:p>
      <w:pPr>
        <w:ind w:left="1780" w:right="1659" w:hanging="147"/>
        <w:spacing w:after="0" w:line="261"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currencies, or currency units, if other than in U.S. dollars, in which the principal of, premium, if any, and interest on the debt securities is payable, or in which the debt securities are denominated,</w:t>
      </w:r>
    </w:p>
    <w:p>
      <w:pPr>
        <w:spacing w:after="0" w:line="54" w:lineRule="exact"/>
        <w:rPr>
          <w:rFonts w:ascii="Times New Roman" w:cs="Times New Roman" w:eastAsia="Times New Roman" w:hAnsi="Times New Roman"/>
          <w:sz w:val="14"/>
          <w:szCs w:val="14"/>
          <w:color w:val="auto"/>
        </w:rPr>
      </w:pPr>
    </w:p>
    <w:p>
      <w:pPr>
        <w:ind w:left="1780" w:right="1419" w:hanging="147"/>
        <w:spacing w:after="0" w:line="276"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modifications or deletions, in the events of default or covenants of Principal Financial Group, Inc. specified in the indenture relating to the debt securities,</w:t>
      </w:r>
    </w:p>
    <w:p>
      <w:pPr>
        <w:spacing w:after="0" w:line="33" w:lineRule="exact"/>
        <w:rPr>
          <w:rFonts w:ascii="Times New Roman" w:cs="Times New Roman" w:eastAsia="Times New Roman" w:hAnsi="Times New Roman"/>
          <w:sz w:val="14"/>
          <w:szCs w:val="14"/>
          <w:color w:val="auto"/>
        </w:rPr>
      </w:pPr>
    </w:p>
    <w:p>
      <w:pPr>
        <w:ind w:left="1780" w:right="1599" w:hanging="147"/>
        <w:spacing w:after="0" w:line="276"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of the debt securities, the portion of the principal amount of the debt securities that is payable upon declaration of acceleration of maturity,</w:t>
      </w:r>
    </w:p>
    <w:p>
      <w:pPr>
        <w:spacing w:after="0" w:line="43" w:lineRule="exact"/>
        <w:rPr>
          <w:rFonts w:ascii="Times New Roman" w:cs="Times New Roman" w:eastAsia="Times New Roman" w:hAnsi="Times New Roman"/>
          <w:sz w:val="14"/>
          <w:szCs w:val="14"/>
          <w:color w:val="auto"/>
        </w:rPr>
      </w:pPr>
    </w:p>
    <w:p>
      <w:pPr>
        <w:ind w:left="1780" w:right="1419" w:hanging="147"/>
        <w:spacing w:after="0" w:line="261"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to the indenture relating to a series of debt securities necessary to permit or facilitate issuing the series in bearer form, registrable or not registrable as to principal, and with or without interest coupons,</w:t>
      </w:r>
    </w:p>
    <w:p>
      <w:pPr>
        <w:spacing w:after="0" w:line="54" w:lineRule="exact"/>
        <w:rPr>
          <w:rFonts w:ascii="Times New Roman" w:cs="Times New Roman" w:eastAsia="Times New Roman" w:hAnsi="Times New Roman"/>
          <w:sz w:val="14"/>
          <w:szCs w:val="14"/>
          <w:color w:val="auto"/>
        </w:rPr>
      </w:pPr>
    </w:p>
    <w:p>
      <w:pPr>
        <w:ind w:left="1780" w:right="1479" w:hanging="147"/>
        <w:spacing w:after="0" w:line="276"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index or indices used to determine the amount of payments of principal of and premium, if any, on the debt securities and the method of determining these amounts,</w:t>
      </w:r>
    </w:p>
    <w:p>
      <w:pPr>
        <w:spacing w:after="0" w:line="43" w:lineRule="exact"/>
        <w:rPr>
          <w:rFonts w:ascii="Times New Roman" w:cs="Times New Roman" w:eastAsia="Times New Roman" w:hAnsi="Times New Roman"/>
          <w:sz w:val="14"/>
          <w:szCs w:val="14"/>
          <w:color w:val="auto"/>
        </w:rPr>
      </w:pPr>
    </w:p>
    <w:p>
      <w:pPr>
        <w:ind w:left="1780" w:right="1539" w:hanging="147"/>
        <w:spacing w:after="0" w:line="276"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 temporary global security will be issued and the terms upon which these temporary debt securities may be exchanged for definitive debt securities,</w:t>
      </w:r>
    </w:p>
    <w:p>
      <w:pPr>
        <w:spacing w:after="0" w:line="33" w:lineRule="exact"/>
        <w:rPr>
          <w:rFonts w:ascii="Times New Roman" w:cs="Times New Roman" w:eastAsia="Times New Roman" w:hAnsi="Times New Roman"/>
          <w:sz w:val="14"/>
          <w:szCs w:val="14"/>
          <w:color w:val="auto"/>
        </w:rPr>
      </w:pPr>
    </w:p>
    <w:p>
      <w:pPr>
        <w:ind w:left="1780" w:right="1779" w:hanging="147"/>
        <w:spacing w:after="0" w:line="276"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of the depositary for global securities,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of any paying agent(s),</w:t>
      </w:r>
    </w:p>
    <w:p>
      <w:pPr>
        <w:spacing w:after="0" w:line="77" w:lineRule="exact"/>
        <w:rPr>
          <w:rFonts w:ascii="Times New Roman" w:cs="Times New Roman" w:eastAsia="Times New Roman" w:hAnsi="Times New Roman"/>
          <w:sz w:val="14"/>
          <w:szCs w:val="14"/>
          <w:color w:val="auto"/>
        </w:rPr>
      </w:pPr>
    </w:p>
    <w:p>
      <w:pPr>
        <w:ind w:left="1780" w:right="1379" w:hanging="147"/>
        <w:spacing w:after="0" w:line="256" w:lineRule="auto"/>
        <w:tabs>
          <w:tab w:leader="none" w:pos="1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any obligation or right we would have or any option you would have to convert or exchange the debt securities into other securities or cash or property of Principal Financial Group, Inc. or any other person and any changes to the indenture to permit or facilitate such conversion or exchange,</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6" w:name="page47"/>
    <w:bookmarkEnd w:id="4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80" w:hanging="147"/>
        <w:spacing w:after="0"/>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subordinated indenture, any provisions regarding subordination,</w:t>
      </w:r>
    </w:p>
    <w:p>
      <w:pPr>
        <w:spacing w:after="0" w:line="87" w:lineRule="exact"/>
        <w:rPr>
          <w:rFonts w:ascii="Times New Roman" w:cs="Times New Roman" w:eastAsia="Times New Roman" w:hAnsi="Times New Roman"/>
          <w:sz w:val="14"/>
          <w:szCs w:val="14"/>
          <w:color w:val="auto"/>
        </w:rPr>
      </w:pPr>
    </w:p>
    <w:p>
      <w:pPr>
        <w:jc w:val="both"/>
        <w:ind w:left="1780" w:right="1599" w:hanging="147"/>
        <w:spacing w:after="0" w:line="261" w:lineRule="auto"/>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the debt securities are non-convertible, whether the Subsidiary Guarantor will guarantee our obligations under the debt securities and, if so, the material terms of the subsidiary guarantee, and</w:t>
      </w:r>
    </w:p>
    <w:p>
      <w:pPr>
        <w:spacing w:after="0" w:line="5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special terms of such debt securities or related guarantee.</w:t>
      </w:r>
    </w:p>
    <w:p>
      <w:pPr>
        <w:spacing w:after="0" w:line="108" w:lineRule="exact"/>
        <w:rPr>
          <w:sz w:val="20"/>
          <w:szCs w:val="20"/>
          <w:color w:val="auto"/>
        </w:rPr>
      </w:pPr>
    </w:p>
    <w:p>
      <w:pPr>
        <w:jc w:val="both"/>
        <w:ind w:left="1360" w:right="1399" w:firstLine="276"/>
        <w:spacing w:after="0" w:line="254" w:lineRule="auto"/>
        <w:rPr>
          <w:sz w:val="20"/>
          <w:szCs w:val="20"/>
          <w:color w:val="auto"/>
        </w:rPr>
      </w:pPr>
      <w:r>
        <w:rPr>
          <w:rFonts w:ascii="Times New Roman" w:cs="Times New Roman" w:eastAsia="Times New Roman" w:hAnsi="Times New Roman"/>
          <w:sz w:val="14"/>
          <w:szCs w:val="14"/>
          <w:color w:val="auto"/>
        </w:rPr>
        <w:t>Debt securities may also be issued under the indentures upon the exercise of warrants or delivery upon settlement of purchase contracts. See “Description of Warrants” and “Description of Purchase Contracts and Purchase Units.”</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Special Payment Terms of the Debt Securities</w:t>
      </w:r>
    </w:p>
    <w:p>
      <w:pPr>
        <w:spacing w:after="0" w:line="120" w:lineRule="exact"/>
        <w:rPr>
          <w:sz w:val="20"/>
          <w:szCs w:val="20"/>
          <w:color w:val="auto"/>
        </w:rPr>
      </w:pPr>
    </w:p>
    <w:p>
      <w:pPr>
        <w:ind w:left="1360" w:right="1419" w:firstLine="276"/>
        <w:spacing w:after="0" w:line="246" w:lineRule="auto"/>
        <w:rPr>
          <w:sz w:val="20"/>
          <w:szCs w:val="20"/>
          <w:color w:val="auto"/>
        </w:rPr>
      </w:pPr>
      <w:r>
        <w:rPr>
          <w:rFonts w:ascii="Times New Roman" w:cs="Times New Roman" w:eastAsia="Times New Roman" w:hAnsi="Times New Roman"/>
          <w:sz w:val="14"/>
          <w:szCs w:val="14"/>
          <w:color w:val="auto"/>
        </w:rPr>
        <w:t>We may issue one or more series of debt securities at a substantial discount below their stated principal amount. These debt securities may bear no interest or interest at a rate which, at the time of issuance, is below market rates. We will describe United States federal tax consequences and special considerations relating to any series of debt securities in the applicable prospectus supplement.</w:t>
      </w:r>
    </w:p>
    <w:p>
      <w:pPr>
        <w:spacing w:after="0" w:line="85" w:lineRule="exact"/>
        <w:rPr>
          <w:sz w:val="20"/>
          <w:szCs w:val="20"/>
          <w:color w:val="auto"/>
        </w:rPr>
      </w:pPr>
    </w:p>
    <w:p>
      <w:pPr>
        <w:ind w:left="1360" w:right="1399" w:firstLine="276"/>
        <w:spacing w:after="0" w:line="243" w:lineRule="auto"/>
        <w:rPr>
          <w:sz w:val="20"/>
          <w:szCs w:val="20"/>
          <w:color w:val="auto"/>
        </w:rPr>
      </w:pPr>
      <w:r>
        <w:rPr>
          <w:rFonts w:ascii="Times New Roman" w:cs="Times New Roman" w:eastAsia="Times New Roman" w:hAnsi="Times New Roman"/>
          <w:sz w:val="14"/>
          <w:szCs w:val="14"/>
          <w:color w:val="auto"/>
        </w:rPr>
        <w:t>The purchase price of any of the debt securities may be payable in one or more foreign currencies or currency units. The debt securities may be denominated in one or more foreign currencies or currency units, or the principal of, premium, if any, or interest on any debt securities may be payable in one or more foreign currencies or currency units. We will describe the restrictions, elections, United States federal income tax considerations, specific terms and other information relating to the debt securities and any foreign currencies or foreign currency units in the applicable prospectus supplement.</w:t>
      </w:r>
    </w:p>
    <w:p>
      <w:pPr>
        <w:spacing w:after="0" w:line="88" w:lineRule="exact"/>
        <w:rPr>
          <w:sz w:val="20"/>
          <w:szCs w:val="20"/>
          <w:color w:val="auto"/>
        </w:rPr>
      </w:pPr>
    </w:p>
    <w:p>
      <w:pPr>
        <w:jc w:val="both"/>
        <w:ind w:left="1360" w:right="1539" w:firstLine="276"/>
        <w:spacing w:after="0" w:line="246" w:lineRule="auto"/>
        <w:rPr>
          <w:sz w:val="20"/>
          <w:szCs w:val="20"/>
          <w:color w:val="auto"/>
        </w:rPr>
      </w:pPr>
      <w:r>
        <w:rPr>
          <w:rFonts w:ascii="Times New Roman" w:cs="Times New Roman" w:eastAsia="Times New Roman" w:hAnsi="Times New Roman"/>
          <w:sz w:val="14"/>
          <w:szCs w:val="14"/>
          <w:color w:val="auto"/>
        </w:rPr>
        <w:t>If we use any index to determine the amount of payments of principal of, premium, if any, or interest on any series of debt securities, we will also describe in the applicable prospectus supplement the special United States federal income tax, accounting and other considerations applicable to the debt securities.</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Denominations, Registration and Transfer</w:t>
      </w:r>
    </w:p>
    <w:p>
      <w:pPr>
        <w:spacing w:after="0" w:line="110" w:lineRule="exact"/>
        <w:rPr>
          <w:sz w:val="20"/>
          <w:szCs w:val="20"/>
          <w:color w:val="auto"/>
        </w:rPr>
      </w:pPr>
    </w:p>
    <w:p>
      <w:pPr>
        <w:ind w:left="1360" w:right="1379" w:firstLine="276"/>
        <w:spacing w:after="0" w:line="246" w:lineRule="auto"/>
        <w:rPr>
          <w:sz w:val="20"/>
          <w:szCs w:val="20"/>
          <w:color w:val="auto"/>
        </w:rPr>
      </w:pPr>
      <w:r>
        <w:rPr>
          <w:rFonts w:ascii="Times New Roman" w:cs="Times New Roman" w:eastAsia="Times New Roman" w:hAnsi="Times New Roman"/>
          <w:sz w:val="14"/>
          <w:szCs w:val="14"/>
          <w:color w:val="auto"/>
        </w:rPr>
        <w:t>We expect to issue most debt securities in fully registered form without coupons and in denominations of $1,000 and any integral multiple of $1,000. Except as we may describe in the applicable prospectus supplement, debt securities of any series will be exchangeable for other debt securities of the same issue and series, in any authorized denominations, of a like tenor and aggregate principal amount and bearing the same interest rate.</w:t>
      </w:r>
    </w:p>
    <w:p>
      <w:pPr>
        <w:spacing w:after="0" w:line="86" w:lineRule="exact"/>
        <w:rPr>
          <w:sz w:val="20"/>
          <w:szCs w:val="20"/>
          <w:color w:val="auto"/>
        </w:rPr>
      </w:pPr>
    </w:p>
    <w:p>
      <w:pPr>
        <w:ind w:left="1360" w:right="1479" w:firstLine="276"/>
        <w:spacing w:after="0" w:line="241" w:lineRule="auto"/>
        <w:rPr>
          <w:sz w:val="20"/>
          <w:szCs w:val="20"/>
          <w:color w:val="auto"/>
        </w:rPr>
      </w:pPr>
      <w:r>
        <w:rPr>
          <w:rFonts w:ascii="Times New Roman" w:cs="Times New Roman" w:eastAsia="Times New Roman" w:hAnsi="Times New Roman"/>
          <w:sz w:val="14"/>
          <w:szCs w:val="14"/>
          <w:color w:val="auto"/>
        </w:rPr>
        <w:t>You may present debt securities for exchange as described above, or for registration of transfer, at the office of the security registrar or at the office of any transfer agent we designate for that purpose. You will not incur a service charge, but you must pay any taxes, assessments and other governmental charges as described in the indentures. We will appoint the trustees as security registrar under the indentures. We may at any time rescind the designation of any transfer agent that we initially designate or approve a change in the location through which the transfer agent acts. We will specify the transfer agent in the applicable prospectus supplement. We may at any time designate additional transfer agents.</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Global Debt Securities</w:t>
      </w:r>
    </w:p>
    <w:p>
      <w:pPr>
        <w:spacing w:after="0" w:line="120" w:lineRule="exact"/>
        <w:rPr>
          <w:sz w:val="20"/>
          <w:szCs w:val="20"/>
          <w:color w:val="auto"/>
        </w:rPr>
      </w:pPr>
    </w:p>
    <w:p>
      <w:pPr>
        <w:ind w:left="1360" w:right="1479" w:firstLine="276"/>
        <w:spacing w:after="0" w:line="242" w:lineRule="auto"/>
        <w:rPr>
          <w:sz w:val="20"/>
          <w:szCs w:val="20"/>
          <w:color w:val="auto"/>
        </w:rPr>
      </w:pPr>
      <w:r>
        <w:rPr>
          <w:rFonts w:ascii="Times New Roman" w:cs="Times New Roman" w:eastAsia="Times New Roman" w:hAnsi="Times New Roman"/>
          <w:sz w:val="14"/>
          <w:szCs w:val="14"/>
          <w:color w:val="auto"/>
        </w:rPr>
        <w:t>We may issue all or any part of a series of debt securities in the form of one or more global securities. We will appoint the depositary holding the global debt securities. Unless we otherwise state in the applicable prospectus supplement, the depositary will be The Depository Trust Company, or DTC. We will issue global securities in registered form. Unless it is exchanged for individual debt securities, a global security may not be transferred except:</w:t>
      </w:r>
    </w:p>
    <w:p>
      <w:pPr>
        <w:spacing w:after="0" w:line="58" w:lineRule="exact"/>
        <w:rPr>
          <w:sz w:val="20"/>
          <w:szCs w:val="20"/>
          <w:color w:val="auto"/>
        </w:rPr>
      </w:pPr>
    </w:p>
    <w:p>
      <w:pPr>
        <w:ind w:left="1780" w:hanging="147"/>
        <w:spacing w:after="0"/>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depositary to its nominee,</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nominee of the depositary to the depositary or another nominee, or</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depositary or any nominee to a successor of the depositary, or a nominee of the successor.</w:t>
      </w:r>
    </w:p>
    <w:p>
      <w:pPr>
        <w:spacing w:after="0" w:line="108" w:lineRule="exact"/>
        <w:rPr>
          <w:sz w:val="20"/>
          <w:szCs w:val="20"/>
          <w:color w:val="auto"/>
        </w:rPr>
      </w:pPr>
    </w:p>
    <w:p>
      <w:pPr>
        <w:ind w:left="1360" w:right="1439" w:firstLine="276"/>
        <w:spacing w:after="0" w:line="276" w:lineRule="auto"/>
        <w:rPr>
          <w:sz w:val="20"/>
          <w:szCs w:val="20"/>
          <w:color w:val="auto"/>
        </w:rPr>
      </w:pPr>
      <w:r>
        <w:rPr>
          <w:rFonts w:ascii="Times New Roman" w:cs="Times New Roman" w:eastAsia="Times New Roman" w:hAnsi="Times New Roman"/>
          <w:sz w:val="14"/>
          <w:szCs w:val="14"/>
          <w:color w:val="auto"/>
        </w:rPr>
        <w:t>We will describe the specific terms of the depositary arrangement in the applicable prospectus supplement. We expect that the following provisions will generally apply to these depositary arrangements.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196850</wp:posOffset>
            </wp:positionV>
            <wp:extent cx="52444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7" w:name="page48"/>
    <w:bookmarkEnd w:id="4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Beneficial Interests in a Global Security</w:t>
      </w:r>
    </w:p>
    <w:p>
      <w:pPr>
        <w:spacing w:after="0" w:line="120" w:lineRule="exact"/>
        <w:rPr>
          <w:sz w:val="20"/>
          <w:szCs w:val="20"/>
          <w:color w:val="auto"/>
        </w:rPr>
      </w:pPr>
    </w:p>
    <w:p>
      <w:pPr>
        <w:ind w:left="1360" w:right="1379" w:firstLine="276"/>
        <w:spacing w:after="0"/>
        <w:rPr>
          <w:sz w:val="20"/>
          <w:szCs w:val="20"/>
          <w:color w:val="auto"/>
        </w:rPr>
      </w:pPr>
      <w:r>
        <w:rPr>
          <w:rFonts w:ascii="Times New Roman" w:cs="Times New Roman" w:eastAsia="Times New Roman" w:hAnsi="Times New Roman"/>
          <w:sz w:val="14"/>
          <w:szCs w:val="14"/>
          <w:color w:val="auto"/>
        </w:rPr>
        <w:t>If we issue a global security, the depositary for the global security or its nominee will credit on its book-entry registration and transfer system the principal amounts of the individual debt securities represented by the global security to the accounts of persons that have accounts with it. We refer to those persons as “participants” in this prospectus. The accounts will be designated by the dealers, underwriters or agents for the debt securities, or by us if the debt securities are offered and sold directly by us. Ownership of beneficial interests in a global security will be limited to participants or persons who may hold interests through participants. Ownership and transfers of beneficial interests in the global security will be shown on, and transactions can be effected only through, records maintained by the applicable depositary or its nominee, for interests of participants, and the records of participants, for interests of persons who hold through participants. The laws of some states require that you take physical delivery of securities in definitive form. These limits and laws may impair your ability to transfer beneficial interests in a global security.</w:t>
      </w:r>
    </w:p>
    <w:p>
      <w:pPr>
        <w:spacing w:after="0" w:line="248" w:lineRule="exact"/>
        <w:rPr>
          <w:sz w:val="20"/>
          <w:szCs w:val="20"/>
          <w:color w:val="auto"/>
        </w:rPr>
      </w:pPr>
    </w:p>
    <w:p>
      <w:pPr>
        <w:ind w:left="1360" w:right="1399" w:firstLine="276"/>
        <w:spacing w:after="0" w:line="246"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a global security, the depositary or nominee will be considered the sole owner or holder of the debt securities represented by the global security for all purposes under the indenture. Except as provided below, you:</w:t>
      </w:r>
    </w:p>
    <w:p>
      <w:pPr>
        <w:spacing w:after="0" w:line="43" w:lineRule="exact"/>
        <w:rPr>
          <w:sz w:val="20"/>
          <w:szCs w:val="20"/>
          <w:color w:val="auto"/>
        </w:rPr>
      </w:pPr>
    </w:p>
    <w:p>
      <w:pPr>
        <w:ind w:left="1780" w:right="1599" w:hanging="147"/>
        <w:spacing w:after="0" w:line="276" w:lineRule="auto"/>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entitled to have any of the individual debt securities represented by the global security registered in your name,</w:t>
      </w:r>
    </w:p>
    <w:p>
      <w:pPr>
        <w:spacing w:after="0" w:line="12" w:lineRule="exact"/>
        <w:rPr>
          <w:rFonts w:ascii="Times New Roman" w:cs="Times New Roman" w:eastAsia="Times New Roman" w:hAnsi="Times New Roman"/>
          <w:sz w:val="14"/>
          <w:szCs w:val="14"/>
          <w:color w:val="auto"/>
        </w:rPr>
      </w:pPr>
    </w:p>
    <w:p>
      <w:pPr>
        <w:ind w:left="1780" w:right="1539" w:hanging="147"/>
        <w:spacing w:after="0" w:line="276" w:lineRule="auto"/>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receive or be entitled to receive physical delivery of any debt securities in definitive form, and</w:t>
      </w:r>
    </w:p>
    <w:p>
      <w:pPr>
        <w:spacing w:after="0" w:line="2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considered the owner or holder of the debt securities under the indenture.</w:t>
      </w:r>
    </w:p>
    <w:p>
      <w:pPr>
        <w:spacing w:after="0" w:line="1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Payments of Principal, Premium and Interest</w:t>
      </w:r>
    </w:p>
    <w:p>
      <w:pPr>
        <w:spacing w:after="0" w:line="120" w:lineRule="exact"/>
        <w:rPr>
          <w:sz w:val="20"/>
          <w:szCs w:val="20"/>
          <w:color w:val="auto"/>
        </w:rPr>
      </w:pPr>
    </w:p>
    <w:p>
      <w:pPr>
        <w:ind w:left="1360" w:right="1499" w:firstLine="276"/>
        <w:spacing w:after="0" w:line="242" w:lineRule="auto"/>
        <w:rPr>
          <w:sz w:val="20"/>
          <w:szCs w:val="20"/>
          <w:color w:val="auto"/>
        </w:rPr>
      </w:pPr>
      <w:r>
        <w:rPr>
          <w:rFonts w:ascii="Times New Roman" w:cs="Times New Roman" w:eastAsia="Times New Roman" w:hAnsi="Times New Roman"/>
          <w:sz w:val="14"/>
          <w:szCs w:val="14"/>
          <w:color w:val="auto"/>
        </w:rPr>
        <w:t>We will make principal, premium, if any, and interest payments on global securities to the depositary that is the registered holder of the global security or its nominee. The depositary for the global securities will be solely responsible and liable for all payments made on account of your beneficial ownership interests in the global security and for maintaining, supervising and reviewing any records relating to your beneficial ownership interests.</w:t>
      </w:r>
    </w:p>
    <w:p>
      <w:pPr>
        <w:spacing w:after="0" w:line="89" w:lineRule="exact"/>
        <w:rPr>
          <w:sz w:val="20"/>
          <w:szCs w:val="20"/>
          <w:color w:val="auto"/>
        </w:rPr>
      </w:pPr>
    </w:p>
    <w:p>
      <w:pPr>
        <w:ind w:left="1360" w:right="1419" w:firstLine="276"/>
        <w:spacing w:after="0" w:line="241" w:lineRule="auto"/>
        <w:rPr>
          <w:sz w:val="20"/>
          <w:szCs w:val="20"/>
          <w:color w:val="auto"/>
        </w:rPr>
      </w:pPr>
      <w:r>
        <w:rPr>
          <w:rFonts w:ascii="Times New Roman" w:cs="Times New Roman" w:eastAsia="Times New Roman" w:hAnsi="Times New Roman"/>
          <w:sz w:val="14"/>
          <w:szCs w:val="14"/>
          <w:color w:val="auto"/>
        </w:rPr>
        <w:t>We expect that the depositary or its nominee, upon receipt of any principal, premium, if any, or interest payment, immediately will credit participants’ accounts with amounts in proportion to their respective beneficial interests in the principal amount of the global security as shown on the records of the depositary or its nominee. We also expect that payments by participants to you, as an owner of a beneficial interest in the global security held through those participants, will be governed by standing instructions and customary practices, as is now the case with securities held for the accounts of customers in bearer form or registered in “street name.” These payments will be the responsibility of those participants.</w:t>
      </w:r>
    </w:p>
    <w:p>
      <w:pPr>
        <w:spacing w:after="0" w:line="1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Issuance of Individual Debt Securities</w:t>
      </w:r>
    </w:p>
    <w:p>
      <w:pPr>
        <w:spacing w:after="0" w:line="110" w:lineRule="exact"/>
        <w:rPr>
          <w:sz w:val="20"/>
          <w:szCs w:val="20"/>
          <w:color w:val="auto"/>
        </w:rPr>
      </w:pPr>
    </w:p>
    <w:p>
      <w:pPr>
        <w:ind w:left="1360" w:right="1479" w:firstLine="276"/>
        <w:spacing w:after="0" w:line="241"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if a depositary for a series of debt securities is at any time unwilling, unable or ineligible to continue as depositary, we will appoint a successor depositary or we will issue individual debt securities in exchange for the global security. In addition, we may at any time and in our sole discretion, subject to any limitations described in the prospectus supplement relating to the debt securities, determine not to have any debt securities represented by one or more global securities. If that occurs, we will issue individual debt securities in exchange for the global security.</w:t>
      </w:r>
    </w:p>
    <w:p>
      <w:pPr>
        <w:spacing w:after="0" w:line="251" w:lineRule="exact"/>
        <w:rPr>
          <w:sz w:val="20"/>
          <w:szCs w:val="20"/>
          <w:color w:val="auto"/>
        </w:rPr>
      </w:pPr>
    </w:p>
    <w:p>
      <w:pPr>
        <w:ind w:left="1360" w:right="1419" w:firstLine="276"/>
        <w:spacing w:after="0" w:line="243" w:lineRule="auto"/>
        <w:rPr>
          <w:sz w:val="20"/>
          <w:szCs w:val="20"/>
          <w:color w:val="auto"/>
        </w:rPr>
      </w:pPr>
      <w:r>
        <w:rPr>
          <w:rFonts w:ascii="Times New Roman" w:cs="Times New Roman" w:eastAsia="Times New Roman" w:hAnsi="Times New Roman"/>
          <w:sz w:val="14"/>
          <w:szCs w:val="14"/>
          <w:color w:val="auto"/>
        </w:rPr>
        <w:t>Further, we may specify that you may, on terms acceptable to us, the trustee and the depositary, receive individual debt securities in exchange for your beneficial interest in a global security, subject to any limitations described in the prospectus supplement relating to the debt securities. In that instance, you will be entitled to physical delivery of individual debt securities equal in principal amount to that beneficial interest and to have the debt securities registered in your name. Unless we otherwise specify, we will issue those individual debt securities in denominations of $1,000 and integral multiples of $1,000.</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20" w:lineRule="exact"/>
        <w:rPr>
          <w:sz w:val="20"/>
          <w:szCs w:val="20"/>
          <w:color w:val="auto"/>
        </w:rPr>
      </w:pPr>
    </w:p>
    <w:p>
      <w:pPr>
        <w:jc w:val="both"/>
        <w:ind w:left="1360" w:right="1499" w:firstLine="276"/>
        <w:spacing w:after="0" w:line="246" w:lineRule="auto"/>
        <w:rPr>
          <w:sz w:val="20"/>
          <w:szCs w:val="20"/>
          <w:color w:val="auto"/>
        </w:rPr>
      </w:pPr>
      <w:r>
        <w:rPr>
          <w:rFonts w:ascii="Times New Roman" w:cs="Times New Roman" w:eastAsia="Times New Roman" w:hAnsi="Times New Roman"/>
          <w:sz w:val="14"/>
          <w:szCs w:val="14"/>
          <w:color w:val="auto"/>
        </w:rPr>
        <w:t>Unless we state otherwise in an applicable prospectus supplement, we will pay principal of, premium, if any, and interest on your debt securities at the office of the trustee for your debt securities in the City of New York or at the office of any paying agent that we may designate.</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8" w:name="page49"/>
    <w:bookmarkEnd w:id="4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59" w:firstLine="276"/>
        <w:spacing w:after="0" w:line="254" w:lineRule="auto"/>
        <w:rPr>
          <w:sz w:val="20"/>
          <w:szCs w:val="20"/>
          <w:color w:val="auto"/>
        </w:rPr>
      </w:pPr>
      <w:r>
        <w:rPr>
          <w:rFonts w:ascii="Times New Roman" w:cs="Times New Roman" w:eastAsia="Times New Roman" w:hAnsi="Times New Roman"/>
          <w:sz w:val="14"/>
          <w:szCs w:val="14"/>
          <w:color w:val="auto"/>
        </w:rPr>
        <w:t>Unless we state otherwise in an applicable prospectus supplement, we will pay any interest on debt securities to the registered owner of the debt security at the close of business on the record date for the interest, except in the case of defaulted interest. We may at any time designate additional paying agents or rescind the designation of any paying agent. We must maintain a paying agent in each place of payment for the debt securities.</w:t>
      </w:r>
    </w:p>
    <w:p>
      <w:pPr>
        <w:spacing w:after="0" w:line="90" w:lineRule="exact"/>
        <w:rPr>
          <w:sz w:val="20"/>
          <w:szCs w:val="20"/>
          <w:color w:val="auto"/>
        </w:rPr>
      </w:pPr>
    </w:p>
    <w:p>
      <w:pPr>
        <w:ind w:left="1360" w:right="1379" w:firstLine="276"/>
        <w:spacing w:after="0" w:line="254" w:lineRule="auto"/>
        <w:rPr>
          <w:sz w:val="20"/>
          <w:szCs w:val="20"/>
          <w:color w:val="auto"/>
        </w:rPr>
      </w:pPr>
      <w:r>
        <w:rPr>
          <w:rFonts w:ascii="Times New Roman" w:cs="Times New Roman" w:eastAsia="Times New Roman" w:hAnsi="Times New Roman"/>
          <w:sz w:val="14"/>
          <w:szCs w:val="14"/>
          <w:color w:val="auto"/>
        </w:rPr>
        <w:t>Any moneys or U.S. government obligations (including the proceeds thereof) deposited with the trustee or any paying agent, or then held by us in trust, for the payment of the principal of, premium, if any, and interest on any debt security that remain unclaimed for two years after the principal, premium or interest has become due and payable will, at our request, be repaid to us. After repayment to us, you are entitled to seek payment only from us as a general unsecured creditor.</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20" w:lineRule="exact"/>
        <w:rPr>
          <w:sz w:val="20"/>
          <w:szCs w:val="20"/>
          <w:color w:val="auto"/>
        </w:rPr>
      </w:pPr>
    </w:p>
    <w:p>
      <w:pPr>
        <w:ind w:left="1360" w:right="1419" w:firstLine="276"/>
        <w:spacing w:after="0" w:line="276" w:lineRule="auto"/>
        <w:rPr>
          <w:sz w:val="20"/>
          <w:szCs w:val="20"/>
          <w:color w:val="auto"/>
        </w:rPr>
      </w:pPr>
      <w:r>
        <w:rPr>
          <w:rFonts w:ascii="Times New Roman" w:cs="Times New Roman" w:eastAsia="Times New Roman" w:hAnsi="Times New Roman"/>
          <w:sz w:val="14"/>
          <w:szCs w:val="14"/>
          <w:color w:val="auto"/>
        </w:rPr>
        <w:t>Unless we state otherwise in an applicable prospectus supplement, debt securities will not be subject to any sinking fund.</w:t>
      </w:r>
    </w:p>
    <w:p>
      <w:pPr>
        <w:spacing w:after="0" w:line="64" w:lineRule="exact"/>
        <w:rPr>
          <w:sz w:val="20"/>
          <w:szCs w:val="20"/>
          <w:color w:val="auto"/>
        </w:rPr>
      </w:pPr>
    </w:p>
    <w:p>
      <w:pPr>
        <w:ind w:left="1360" w:right="1379" w:firstLine="276"/>
        <w:spacing w:after="0" w:line="261" w:lineRule="auto"/>
        <w:rPr>
          <w:sz w:val="20"/>
          <w:szCs w:val="20"/>
          <w:color w:val="auto"/>
        </w:rPr>
      </w:pPr>
      <w:r>
        <w:rPr>
          <w:rFonts w:ascii="Times New Roman" w:cs="Times New Roman" w:eastAsia="Times New Roman" w:hAnsi="Times New Roman"/>
          <w:sz w:val="14"/>
          <w:szCs w:val="14"/>
          <w:color w:val="auto"/>
        </w:rPr>
        <w:t>Unless we state otherwise in an applicable prospectus supplement, we may, at our option, redeem any series of debt securities after its issuance date in whole or in part at any time and from time to time. We may redeem debt securities in denominations larger than $1,000 but only in integral multiples of $1,000.</w:t>
      </w:r>
    </w:p>
    <w:p>
      <w:pPr>
        <w:spacing w:after="0" w:line="13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Redemption Price</w:t>
      </w:r>
    </w:p>
    <w:p>
      <w:pPr>
        <w:spacing w:after="0" w:line="120" w:lineRule="exact"/>
        <w:rPr>
          <w:sz w:val="20"/>
          <w:szCs w:val="20"/>
          <w:color w:val="auto"/>
        </w:rPr>
      </w:pPr>
    </w:p>
    <w:p>
      <w:pPr>
        <w:ind w:left="1360" w:right="1459" w:firstLine="276"/>
        <w:spacing w:after="0" w:line="261" w:lineRule="auto"/>
        <w:rPr>
          <w:sz w:val="20"/>
          <w:szCs w:val="20"/>
          <w:color w:val="auto"/>
        </w:rPr>
      </w:pPr>
      <w:r>
        <w:rPr>
          <w:rFonts w:ascii="Times New Roman" w:cs="Times New Roman" w:eastAsia="Times New Roman" w:hAnsi="Times New Roman"/>
          <w:sz w:val="14"/>
          <w:szCs w:val="14"/>
          <w:color w:val="auto"/>
        </w:rPr>
        <w:t>Except as we may otherwise specify in the applicable prospectus supplement, the redemption price for any debt security which we redeem will equal 100% of the principal amount plus any accrued and unpaid interest up to, but excluding, the redemption date.</w:t>
      </w:r>
    </w:p>
    <w:p>
      <w:pPr>
        <w:spacing w:after="0" w:line="13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Notice of Redemption</w:t>
      </w:r>
    </w:p>
    <w:p>
      <w:pPr>
        <w:spacing w:after="0" w:line="120" w:lineRule="exact"/>
        <w:rPr>
          <w:sz w:val="20"/>
          <w:szCs w:val="20"/>
          <w:color w:val="auto"/>
        </w:rPr>
      </w:pPr>
    </w:p>
    <w:p>
      <w:pPr>
        <w:ind w:left="1360" w:right="1419" w:firstLine="276"/>
        <w:spacing w:after="0" w:line="254" w:lineRule="auto"/>
        <w:rPr>
          <w:sz w:val="20"/>
          <w:szCs w:val="20"/>
          <w:color w:val="auto"/>
        </w:rPr>
      </w:pPr>
      <w:r>
        <w:rPr>
          <w:rFonts w:ascii="Times New Roman" w:cs="Times New Roman" w:eastAsia="Times New Roman" w:hAnsi="Times New Roman"/>
          <w:sz w:val="14"/>
          <w:szCs w:val="14"/>
          <w:color w:val="auto"/>
        </w:rPr>
        <w:t>Unless we state otherwise in an applicable prospectus supplement, we will mail notice of any redemption of debt securities at least 30 days but not more than 60 days before the redemption date to the registered holders of the debt securities at their addresses as shown on the security register. Unless we default in payment of the redemption price, on and after the redemption date interest will cease to accrue on the debt securities or the portions called for redemption.</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10" w:lineRule="exact"/>
        <w:rPr>
          <w:sz w:val="20"/>
          <w:szCs w:val="20"/>
          <w:color w:val="auto"/>
        </w:rPr>
      </w:pPr>
    </w:p>
    <w:p>
      <w:pPr>
        <w:jc w:val="both"/>
        <w:ind w:left="1360" w:right="1699" w:firstLine="276"/>
        <w:spacing w:after="0" w:line="276" w:lineRule="auto"/>
        <w:rPr>
          <w:sz w:val="20"/>
          <w:szCs w:val="20"/>
          <w:color w:val="auto"/>
        </w:rPr>
      </w:pPr>
      <w:r>
        <w:rPr>
          <w:rFonts w:ascii="Times New Roman" w:cs="Times New Roman" w:eastAsia="Times New Roman" w:hAnsi="Times New Roman"/>
          <w:sz w:val="14"/>
          <w:szCs w:val="14"/>
          <w:color w:val="auto"/>
        </w:rPr>
        <w:t>We will not consolidate with or merge into any other person or convey, transfer or lease our assets substantially as an entirety to any person, and no person may consolidate with or merge into us, unless:</w:t>
      </w:r>
    </w:p>
    <w:p>
      <w:pPr>
        <w:spacing w:after="0" w:line="54" w:lineRule="exact"/>
        <w:rPr>
          <w:sz w:val="20"/>
          <w:szCs w:val="20"/>
          <w:color w:val="auto"/>
        </w:rPr>
      </w:pPr>
    </w:p>
    <w:p>
      <w:pPr>
        <w:ind w:left="1780" w:hanging="147"/>
        <w:spacing w:after="0"/>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the surviving company in any merger or consolidation,</w:t>
      </w:r>
    </w:p>
    <w:p>
      <w:pPr>
        <w:spacing w:after="0" w:line="87" w:lineRule="exact"/>
        <w:rPr>
          <w:rFonts w:ascii="Times New Roman" w:cs="Times New Roman" w:eastAsia="Times New Roman" w:hAnsi="Times New Roman"/>
          <w:sz w:val="14"/>
          <w:szCs w:val="14"/>
          <w:color w:val="auto"/>
        </w:rPr>
      </w:pPr>
    </w:p>
    <w:p>
      <w:pPr>
        <w:ind w:left="1780" w:right="1479" w:hanging="147"/>
        <w:spacing w:after="0" w:line="256"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consolidate with or merge into another person or convey or transfer our assets substantially as an entirety to any person, the successor person is an entity organized and validly existing under the laws of the United States of America or any state thereof or the District of Columbia, and the successor entity expressly assumes our obligations relating to the debt securities,</w:t>
      </w:r>
    </w:p>
    <w:p>
      <w:pPr>
        <w:spacing w:after="0" w:line="58" w:lineRule="exact"/>
        <w:rPr>
          <w:rFonts w:ascii="Times New Roman" w:cs="Times New Roman" w:eastAsia="Times New Roman" w:hAnsi="Times New Roman"/>
          <w:sz w:val="14"/>
          <w:szCs w:val="14"/>
          <w:color w:val="auto"/>
        </w:rPr>
      </w:pPr>
    </w:p>
    <w:p>
      <w:pPr>
        <w:ind w:left="1780" w:right="1419" w:hanging="147"/>
        <w:spacing w:after="0" w:line="261" w:lineRule="auto"/>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consolidation, merger, conveyance or transfer, there exists no event of default, and no event which, after notice or lapse of time or both, would become an event of default, and</w:t>
      </w:r>
    </w:p>
    <w:p>
      <w:pPr>
        <w:spacing w:after="0" w:line="5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conditions described in the relevant indenture are met.</w:t>
      </w:r>
    </w:p>
    <w:p>
      <w:pPr>
        <w:spacing w:after="0" w:line="118" w:lineRule="exact"/>
        <w:rPr>
          <w:sz w:val="20"/>
          <w:szCs w:val="20"/>
          <w:color w:val="auto"/>
        </w:rPr>
      </w:pPr>
    </w:p>
    <w:p>
      <w:pPr>
        <w:ind w:left="1360" w:right="1399" w:firstLine="276"/>
        <w:spacing w:after="0" w:line="252" w:lineRule="auto"/>
        <w:rPr>
          <w:sz w:val="20"/>
          <w:szCs w:val="20"/>
          <w:color w:val="auto"/>
        </w:rPr>
      </w:pPr>
      <w:r>
        <w:rPr>
          <w:rFonts w:ascii="Times New Roman" w:cs="Times New Roman" w:eastAsia="Times New Roman" w:hAnsi="Times New Roman"/>
          <w:sz w:val="14"/>
          <w:szCs w:val="14"/>
          <w:color w:val="auto"/>
        </w:rPr>
        <w:t>This covenant would not apply to the direct or indirect conveyance, transfer or lease of all or any portion of the stock, assets or liabilities of any of our wholly owned subsidiaries to us or to our other wholly owned subsidiaries. In addition, this covenant would not apply to any recapitalization transaction, a change of control of Principal Financial Group, Inc. or a highly leveraged transaction, unless such transaction or change of control were structured to include a merger or consolidation by us or the conveyance, transfer or lease of our assets substantially as an entirety.</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9" w:name="page50"/>
    <w:bookmarkEnd w:id="4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Limitations upon Liens</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indentures provide that neither we nor any of our restricted subsidiaries are permitted, directly or</w:t>
      </w:r>
    </w:p>
    <w:p>
      <w:pPr>
        <w:spacing w:after="0" w:line="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indirectly, to create, issue, assume, incur, guarantee or become liable with respect to any indebtedness for</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money borrowed which is secured by a lien on any of the present or future common stock of a restricted</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subsidiary, unless the debt securities, and if we so elect, any of our other indebtedness ranking at least</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 xml:space="preserve">pari passu </w:t>
      </w:r>
      <w:r>
        <w:rPr>
          <w:rFonts w:ascii="Times New Roman" w:cs="Times New Roman" w:eastAsia="Times New Roman" w:hAnsi="Times New Roman"/>
          <w:sz w:val="14"/>
          <w:szCs w:val="14"/>
          <w:color w:val="auto"/>
        </w:rPr>
        <w:t>with the debt securities, shall be secured equally and ratably with, or prior to, such other secured</w:t>
      </w:r>
    </w:p>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indebtedness for money borrowed so long as it is outstanding.</w:t>
      </w:r>
    </w:p>
    <w:p>
      <w:pPr>
        <w:spacing w:after="0" w:line="103" w:lineRule="exact"/>
        <w:rPr>
          <w:sz w:val="20"/>
          <w:szCs w:val="20"/>
          <w:color w:val="auto"/>
        </w:rPr>
      </w:pPr>
    </w:p>
    <w:p>
      <w:pPr>
        <w:ind w:left="1360" w:right="1519" w:firstLine="276"/>
        <w:spacing w:after="0" w:line="254" w:lineRule="auto"/>
        <w:rPr>
          <w:sz w:val="20"/>
          <w:szCs w:val="20"/>
          <w:color w:val="auto"/>
        </w:rPr>
      </w:pPr>
      <w:r>
        <w:rPr>
          <w:rFonts w:ascii="Times New Roman" w:cs="Times New Roman" w:eastAsia="Times New Roman" w:hAnsi="Times New Roman"/>
          <w:sz w:val="14"/>
          <w:szCs w:val="14"/>
          <w:color w:val="auto"/>
        </w:rPr>
        <w:t>When we use the term “restricted subsidiary,” we mean Principal Life Insurance Company and any other subsidiary which is incorporated under the laws of any state of the United States or of the District of Columbia, and which is a regulated insurance company principally engaged in one or more of the life, annuity, property and casualty insurance businesses. However, no subsidiary, other than Principal Life Insurance Company, is a restricted subsidiary:</w:t>
      </w:r>
    </w:p>
    <w:p>
      <w:pPr>
        <w:spacing w:after="0" w:line="59" w:lineRule="exact"/>
        <w:rPr>
          <w:sz w:val="20"/>
          <w:szCs w:val="20"/>
          <w:color w:val="auto"/>
        </w:rPr>
      </w:pPr>
    </w:p>
    <w:p>
      <w:pPr>
        <w:ind w:left="1780" w:right="1399" w:hanging="147"/>
        <w:spacing w:after="0" w:line="256" w:lineRule="auto"/>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total assets of that subsidiary are less than 10% of our total assets and the total assets of our consolidated subsidiaries, including that subsidiary, in each case as set forth on the most recent fiscal year-end balance sheets of the subsidiary and us and our consolidated subsidiaries, respectively, and computed in accordance with generally accepted accounting principles, or</w:t>
      </w:r>
    </w:p>
    <w:p>
      <w:pPr>
        <w:spacing w:after="0" w:line="58" w:lineRule="exact"/>
        <w:rPr>
          <w:rFonts w:ascii="Times New Roman" w:cs="Times New Roman" w:eastAsia="Times New Roman" w:hAnsi="Times New Roman"/>
          <w:sz w:val="14"/>
          <w:szCs w:val="14"/>
          <w:color w:val="auto"/>
        </w:rPr>
      </w:pPr>
    </w:p>
    <w:p>
      <w:pPr>
        <w:ind w:left="1780" w:right="1439" w:hanging="147"/>
        <w:spacing w:after="0" w:line="276" w:lineRule="auto"/>
        <w:tabs>
          <w:tab w:leader="none" w:pos="1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 the judgment of our board of directors, as evidenced by a board resolution, the subsidiary is not material to the financial condition of us and our subsidiaries taken as a whole.</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7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Modification</w:t>
      </w:r>
    </w:p>
    <w:p>
      <w:pPr>
        <w:spacing w:after="0" w:line="120" w:lineRule="exact"/>
        <w:rPr>
          <w:sz w:val="20"/>
          <w:szCs w:val="20"/>
          <w:color w:val="auto"/>
        </w:rPr>
      </w:pPr>
    </w:p>
    <w:p>
      <w:pPr>
        <w:ind w:left="1360" w:right="1379" w:firstLine="276"/>
        <w:spacing w:after="0" w:line="256" w:lineRule="auto"/>
        <w:rPr>
          <w:sz w:val="20"/>
          <w:szCs w:val="20"/>
          <w:color w:val="auto"/>
        </w:rPr>
      </w:pPr>
      <w:r>
        <w:rPr>
          <w:rFonts w:ascii="Times New Roman" w:cs="Times New Roman" w:eastAsia="Times New Roman" w:hAnsi="Times New Roman"/>
          <w:sz w:val="14"/>
          <w:szCs w:val="14"/>
          <w:color w:val="auto"/>
        </w:rPr>
        <w:t>We, the trustee and, if applicable, the Subsidiary Guarantor may modify and amend each indenture with the consent of the holders of a majority in aggregate principal amount of the series of debt securities affected. However, no modification or amendment may, without the consent of the holder of each outstanding debt security affected:</w:t>
      </w:r>
    </w:p>
    <w:p>
      <w:pPr>
        <w:spacing w:after="0" w:line="58" w:lineRule="exact"/>
        <w:rPr>
          <w:sz w:val="20"/>
          <w:szCs w:val="20"/>
          <w:color w:val="auto"/>
        </w:rPr>
      </w:pPr>
    </w:p>
    <w:p>
      <w:pPr>
        <w:ind w:left="1780" w:right="1959" w:hanging="147"/>
        <w:spacing w:after="0" w:line="276"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interest payable on, any outstanding debt security,</w:t>
      </w:r>
    </w:p>
    <w:p>
      <w:pPr>
        <w:spacing w:after="0" w:line="43" w:lineRule="exact"/>
        <w:rPr>
          <w:rFonts w:ascii="Times New Roman" w:cs="Times New Roman" w:eastAsia="Times New Roman" w:hAnsi="Times New Roman"/>
          <w:sz w:val="14"/>
          <w:szCs w:val="14"/>
          <w:color w:val="auto"/>
        </w:rPr>
      </w:pPr>
    </w:p>
    <w:p>
      <w:pPr>
        <w:ind w:left="1780" w:right="1479" w:hanging="147"/>
        <w:spacing w:after="0" w:line="256"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the rate of interest on or any premium payable upon the redemption of, or the amount of principal of an original issue discount security that would be due and payable upon a redemption or would be provable in bankruptcy, or adversely affect any right of repayment of the holder of, any outstanding debt security,</w:t>
      </w:r>
    </w:p>
    <w:p>
      <w:pPr>
        <w:spacing w:after="0" w:line="58" w:lineRule="exact"/>
        <w:rPr>
          <w:rFonts w:ascii="Times New Roman" w:cs="Times New Roman" w:eastAsia="Times New Roman" w:hAnsi="Times New Roman"/>
          <w:sz w:val="14"/>
          <w:szCs w:val="14"/>
          <w:color w:val="auto"/>
        </w:rPr>
      </w:pPr>
    </w:p>
    <w:p>
      <w:pPr>
        <w:ind w:left="1780" w:right="1559" w:hanging="147"/>
        <w:spacing w:after="0" w:line="276"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of payment, or the coin or currency in which any outstanding debt security or the interest on any outstanding debt security is payable,</w:t>
      </w:r>
    </w:p>
    <w:p>
      <w:pPr>
        <w:spacing w:after="0" w:line="43" w:lineRule="exact"/>
        <w:rPr>
          <w:rFonts w:ascii="Times New Roman" w:cs="Times New Roman" w:eastAsia="Times New Roman" w:hAnsi="Times New Roman"/>
          <w:sz w:val="14"/>
          <w:szCs w:val="14"/>
          <w:color w:val="auto"/>
        </w:rPr>
      </w:pPr>
    </w:p>
    <w:p>
      <w:pPr>
        <w:ind w:left="1780" w:right="1819" w:hanging="147"/>
        <w:spacing w:after="0" w:line="276"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your right to institute suit for the enforcement of any payment on any outstanding debt security after the stated maturity or redemption date,</w:t>
      </w:r>
    </w:p>
    <w:p>
      <w:pPr>
        <w:spacing w:after="0" w:line="43" w:lineRule="exact"/>
        <w:rPr>
          <w:rFonts w:ascii="Times New Roman" w:cs="Times New Roman" w:eastAsia="Times New Roman" w:hAnsi="Times New Roman"/>
          <w:sz w:val="14"/>
          <w:szCs w:val="14"/>
          <w:color w:val="auto"/>
        </w:rPr>
      </w:pPr>
    </w:p>
    <w:p>
      <w:pPr>
        <w:ind w:left="1780" w:right="1419" w:hanging="147"/>
        <w:spacing w:after="0" w:line="256"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the holders of outstanding debt securities necessary to modify or amend the applicable indenture, to waive compliance with certain provisions of the applicable indenture or certain defaults and consequences of such defaults or to reduce the quorum or voting requirements set forth in the applicable indenture,</w:t>
      </w:r>
    </w:p>
    <w:p>
      <w:pPr>
        <w:spacing w:after="0" w:line="58" w:lineRule="exact"/>
        <w:rPr>
          <w:rFonts w:ascii="Times New Roman" w:cs="Times New Roman" w:eastAsia="Times New Roman" w:hAnsi="Times New Roman"/>
          <w:sz w:val="14"/>
          <w:szCs w:val="14"/>
          <w:color w:val="auto"/>
        </w:rPr>
      </w:pPr>
    </w:p>
    <w:p>
      <w:pPr>
        <w:ind w:left="1780" w:right="1419" w:hanging="147"/>
        <w:spacing w:after="0" w:line="256"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these provisions or any of the provisions relating to the waiver of certain past defaults or certain covenants, except to increase the required percentage to effect such action or to provide that certain other provisions may not be modified or waived without the consent of all of the holders of the debt securities affected,</w:t>
      </w:r>
    </w:p>
    <w:p>
      <w:pPr>
        <w:spacing w:after="0" w:line="58" w:lineRule="exact"/>
        <w:rPr>
          <w:rFonts w:ascii="Times New Roman" w:cs="Times New Roman" w:eastAsia="Times New Roman" w:hAnsi="Times New Roman"/>
          <w:sz w:val="14"/>
          <w:szCs w:val="14"/>
          <w:color w:val="auto"/>
        </w:rPr>
      </w:pPr>
    </w:p>
    <w:p>
      <w:pPr>
        <w:ind w:left="1780" w:right="1379" w:hanging="147"/>
        <w:spacing w:after="0" w:line="276"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provisions with respect to the subordination of outstanding subordinated debt securities in a manner materially adverse to the holders of such outstanding subordinated debt securities, or</w:t>
      </w:r>
    </w:p>
    <w:p>
      <w:pPr>
        <w:spacing w:after="0" w:line="54" w:lineRule="exact"/>
        <w:rPr>
          <w:rFonts w:ascii="Times New Roman" w:cs="Times New Roman" w:eastAsia="Times New Roman" w:hAnsi="Times New Roman"/>
          <w:sz w:val="14"/>
          <w:szCs w:val="14"/>
          <w:color w:val="auto"/>
        </w:rPr>
      </w:pPr>
    </w:p>
    <w:p>
      <w:pPr>
        <w:ind w:left="1780" w:right="1539" w:hanging="147"/>
        <w:spacing w:after="0" w:line="276" w:lineRule="auto"/>
        <w:tabs>
          <w:tab w:leader="none" w:pos="1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provisions with respect to any outstanding guarantee of any debt securities in a manner materially adverse to the holders of such outstanding debt securities.</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0" w:name="page51"/>
    <w:bookmarkEnd w:id="5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Waiver</w:t>
      </w:r>
    </w:p>
    <w:p>
      <w:pPr>
        <w:spacing w:after="0" w:line="120" w:lineRule="exact"/>
        <w:rPr>
          <w:sz w:val="20"/>
          <w:szCs w:val="20"/>
          <w:color w:val="auto"/>
        </w:rPr>
      </w:pPr>
    </w:p>
    <w:p>
      <w:pPr>
        <w:ind w:left="1360" w:right="1559" w:firstLine="276"/>
        <w:spacing w:after="0" w:line="254"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outstanding debt securities of a series may, on behalf of the holders of all debt securities of that series, waive compliance by us with certain restrictive covenants of the indenture which relate to that series.</w:t>
      </w:r>
    </w:p>
    <w:p>
      <w:pPr>
        <w:spacing w:after="0" w:line="79" w:lineRule="exact"/>
        <w:rPr>
          <w:sz w:val="20"/>
          <w:szCs w:val="20"/>
          <w:color w:val="auto"/>
        </w:rPr>
      </w:pPr>
    </w:p>
    <w:p>
      <w:pPr>
        <w:ind w:left="1360" w:right="1439" w:firstLine="276"/>
        <w:spacing w:after="0" w:line="241" w:lineRule="auto"/>
        <w:rPr>
          <w:sz w:val="20"/>
          <w:szCs w:val="20"/>
          <w:color w:val="auto"/>
        </w:rPr>
      </w:pPr>
      <w:r>
        <w:rPr>
          <w:rFonts w:ascii="Times New Roman" w:cs="Times New Roman" w:eastAsia="Times New Roman" w:hAnsi="Times New Roman"/>
          <w:sz w:val="14"/>
          <w:szCs w:val="14"/>
          <w:color w:val="auto"/>
        </w:rPr>
        <w:t>The holders of not less than a majority in aggregate principal amount of the outstanding debt securities of a series may, on behalf of the holders of that series, generally waive any past default under the indenture relating to that series of debt securities and the consequences of such default. However, a default in the payment of the principal of, or premium, if any, or any interest on, any debt security of that series or relating to a covenant or provision which under the indenture relating to that series of debt security cannot be modified or amended without the consent of the holder of each outstanding debt security of that series affected cannot be so waived.</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0" w:lineRule="exact"/>
        <w:rPr>
          <w:sz w:val="20"/>
          <w:szCs w:val="20"/>
          <w:color w:val="auto"/>
        </w:rPr>
      </w:pPr>
    </w:p>
    <w:p>
      <w:pPr>
        <w:ind w:left="1360" w:right="1499" w:firstLine="276"/>
        <w:spacing w:after="0" w:line="261" w:lineRule="auto"/>
        <w:rPr>
          <w:sz w:val="20"/>
          <w:szCs w:val="20"/>
          <w:color w:val="auto"/>
        </w:rPr>
      </w:pPr>
      <w:r>
        <w:rPr>
          <w:rFonts w:ascii="Times New Roman" w:cs="Times New Roman" w:eastAsia="Times New Roman" w:hAnsi="Times New Roman"/>
          <w:sz w:val="14"/>
          <w:szCs w:val="14"/>
          <w:color w:val="auto"/>
        </w:rPr>
        <w:t>Under the terms of each indenture, each of the following constitutes an event of default for a series of debt securities:</w:t>
      </w:r>
    </w:p>
    <w:p>
      <w:pPr>
        <w:spacing w:after="0" w:line="43" w:lineRule="exact"/>
        <w:rPr>
          <w:sz w:val="20"/>
          <w:szCs w:val="20"/>
          <w:color w:val="auto"/>
        </w:rPr>
      </w:pPr>
    </w:p>
    <w:p>
      <w:pPr>
        <w:ind w:left="1780" w:hanging="147"/>
        <w:spacing w:after="0"/>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for 30 days in the payment of any interest when due,</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or premium, if any, when due,</w:t>
      </w:r>
    </w:p>
    <w:p>
      <w:pPr>
        <w:spacing w:after="0" w:line="77" w:lineRule="exact"/>
        <w:rPr>
          <w:rFonts w:ascii="Times New Roman" w:cs="Times New Roman" w:eastAsia="Times New Roman" w:hAnsi="Times New Roman"/>
          <w:sz w:val="14"/>
          <w:szCs w:val="14"/>
          <w:color w:val="auto"/>
        </w:rPr>
      </w:pPr>
    </w:p>
    <w:p>
      <w:pPr>
        <w:ind w:left="1780" w:right="1459" w:hanging="147"/>
        <w:spacing w:after="0" w:line="276" w:lineRule="auto"/>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in the indenture for 90 days after written notice,</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w:t>
      </w:r>
    </w:p>
    <w:p>
      <w:pPr>
        <w:spacing w:after="0" w:line="87" w:lineRule="exact"/>
        <w:rPr>
          <w:rFonts w:ascii="Times New Roman" w:cs="Times New Roman" w:eastAsia="Times New Roman" w:hAnsi="Times New Roman"/>
          <w:sz w:val="14"/>
          <w:szCs w:val="14"/>
          <w:color w:val="auto"/>
        </w:rPr>
      </w:pPr>
    </w:p>
    <w:p>
      <w:pPr>
        <w:ind w:left="1780" w:right="1599" w:hanging="147"/>
        <w:spacing w:after="0" w:line="276" w:lineRule="auto"/>
        <w:tabs>
          <w:tab w:leader="none" w:pos="1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described in the applicable board resolution, guarantee or supplemental indenture under which the series of debt securities is issued.</w:t>
      </w:r>
    </w:p>
    <w:p>
      <w:pPr>
        <w:spacing w:after="0" w:line="64" w:lineRule="exact"/>
        <w:rPr>
          <w:sz w:val="20"/>
          <w:szCs w:val="20"/>
          <w:color w:val="auto"/>
        </w:rPr>
      </w:pPr>
    </w:p>
    <w:p>
      <w:pPr>
        <w:ind w:left="1360" w:right="1459" w:firstLine="276"/>
        <w:spacing w:after="0" w:line="246" w:lineRule="auto"/>
        <w:rPr>
          <w:sz w:val="20"/>
          <w:szCs w:val="20"/>
          <w:color w:val="auto"/>
        </w:rPr>
      </w:pPr>
      <w:r>
        <w:rPr>
          <w:rFonts w:ascii="Times New Roman" w:cs="Times New Roman" w:eastAsia="Times New Roman" w:hAnsi="Times New Roman"/>
          <w:sz w:val="14"/>
          <w:szCs w:val="14"/>
          <w:color w:val="auto"/>
        </w:rPr>
        <w:t>We are required to furnish the trustee annually with a statement as to the fulfillment of our obligations under the indenture. Each indenture provides that the trustee may withhold notice to you of any default, except in respect of the payment of principal or interest on the debt securities, if it considers it in the interests of the holders of the debt securities to do so.</w:t>
      </w:r>
    </w:p>
    <w:p>
      <w:pPr>
        <w:spacing w:after="0" w:line="14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Effect of an Event of Default</w:t>
      </w:r>
    </w:p>
    <w:p>
      <w:pPr>
        <w:spacing w:after="0" w:line="110" w:lineRule="exact"/>
        <w:rPr>
          <w:sz w:val="20"/>
          <w:szCs w:val="20"/>
          <w:color w:val="auto"/>
        </w:rPr>
      </w:pPr>
    </w:p>
    <w:p>
      <w:pPr>
        <w:ind w:left="1360" w:right="1459" w:firstLine="276"/>
        <w:spacing w:after="0" w:line="239" w:lineRule="auto"/>
        <w:rPr>
          <w:sz w:val="20"/>
          <w:szCs w:val="20"/>
          <w:color w:val="auto"/>
        </w:rPr>
      </w:pPr>
      <w:r>
        <w:rPr>
          <w:rFonts w:ascii="Times New Roman" w:cs="Times New Roman" w:eastAsia="Times New Roman" w:hAnsi="Times New Roman"/>
          <w:sz w:val="14"/>
          <w:szCs w:val="14"/>
          <w:color w:val="auto"/>
        </w:rPr>
        <w:t>Under each indenture, if an event of default exists (other than an event of default in the case of certain events of bankruptcy), the trustee or the holders of not less than 25% in aggregate principal amount of a series of outstanding debt securities may declare the principal amount, or, if the debt securities are original issue discount securities, the portion of the principal amount as may be specified in the terms of that series, of the debt securities of that series to be due and payable immediately, by a notice in writing to us, and to the trustee if given by holders. Upon that declaration the principal (or specified) amount will become immediately due and payable. However, at any time after a declaration of acceleration has been made, but before a judgment or decree for payment of the money due has been obtained, the holders of not less than a majority in aggregate principal amount of a series of outstanding debt securities may, subject to conditions specified in the indenture, rescind and annul that declaration.</w:t>
      </w:r>
    </w:p>
    <w:p>
      <w:pPr>
        <w:spacing w:after="0" w:line="94" w:lineRule="exact"/>
        <w:rPr>
          <w:sz w:val="20"/>
          <w:szCs w:val="20"/>
          <w:color w:val="auto"/>
        </w:rPr>
      </w:pPr>
    </w:p>
    <w:p>
      <w:pPr>
        <w:ind w:left="1360" w:right="1419" w:firstLine="276"/>
        <w:spacing w:after="0" w:line="254" w:lineRule="auto"/>
        <w:rPr>
          <w:sz w:val="20"/>
          <w:szCs w:val="20"/>
          <w:color w:val="auto"/>
        </w:rPr>
      </w:pPr>
      <w:r>
        <w:rPr>
          <w:rFonts w:ascii="Times New Roman" w:cs="Times New Roman" w:eastAsia="Times New Roman" w:hAnsi="Times New Roman"/>
          <w:sz w:val="14"/>
          <w:szCs w:val="14"/>
          <w:color w:val="auto"/>
        </w:rPr>
        <w:t>If an event of default in the case of certain events of bankruptcy exists, the principal amount of all debt securities outstanding under the indentures shall automatically, and without any declaration or other action on the part of the trustee or any holder of such outstanding debt, become immediately due and payable.</w:t>
      </w:r>
    </w:p>
    <w:p>
      <w:pPr>
        <w:spacing w:after="0" w:line="79" w:lineRule="exact"/>
        <w:rPr>
          <w:sz w:val="20"/>
          <w:szCs w:val="20"/>
          <w:color w:val="auto"/>
        </w:rPr>
      </w:pPr>
    </w:p>
    <w:p>
      <w:pPr>
        <w:ind w:left="1360" w:right="1399" w:firstLine="276"/>
        <w:spacing w:after="0"/>
        <w:rPr>
          <w:sz w:val="20"/>
          <w:szCs w:val="20"/>
          <w:color w:val="auto"/>
        </w:rPr>
      </w:pPr>
      <w:r>
        <w:rPr>
          <w:rFonts w:ascii="Times New Roman" w:cs="Times New Roman" w:eastAsia="Times New Roman" w:hAnsi="Times New Roman"/>
          <w:sz w:val="14"/>
          <w:szCs w:val="14"/>
          <w:color w:val="auto"/>
        </w:rPr>
        <w:t>Subject to the provisions of the indentures relating to the duties of the trustee, if an event of default then exists, the trustee will be under no obligation to exercise any of its rights or powers under the indentures (other than the payment of any amounts on the debt securities furnished to it pursuant to the indenture) at your (or any other person’s) request, order or direction, unless you have (or such other person has) offered to the trustee security or indemnity satisfactory to the trustee. Subject to the provisions for the security or indemnification of the trustee, the holders of a majority in aggregate principal amount of a series of outstanding debt securities have the right to direct the time, method and place of conducting any proceeding</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1" w:name="page52"/>
    <w:bookmarkEnd w:id="5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360" w:right="1959"/>
        <w:spacing w:after="0" w:line="261" w:lineRule="auto"/>
        <w:rPr>
          <w:sz w:val="20"/>
          <w:szCs w:val="20"/>
          <w:color w:val="auto"/>
        </w:rPr>
      </w:pPr>
      <w:r>
        <w:rPr>
          <w:rFonts w:ascii="Times New Roman" w:cs="Times New Roman" w:eastAsia="Times New Roman" w:hAnsi="Times New Roman"/>
          <w:sz w:val="14"/>
          <w:szCs w:val="14"/>
          <w:color w:val="auto"/>
        </w:rPr>
        <w:t>for any remedy available to the trustee, or exercising any trust or power conferred on the trustee in connection with the debt securities of that series.</w:t>
      </w:r>
    </w:p>
    <w:p>
      <w:pPr>
        <w:spacing w:after="0" w:line="13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 and Enforcement of Right to Payment</w:t>
      </w:r>
    </w:p>
    <w:p>
      <w:pPr>
        <w:spacing w:after="0" w:line="100" w:lineRule="exact"/>
        <w:rPr>
          <w:sz w:val="20"/>
          <w:szCs w:val="20"/>
          <w:color w:val="auto"/>
        </w:rPr>
      </w:pPr>
    </w:p>
    <w:p>
      <w:pPr>
        <w:ind w:left="1360" w:right="1439" w:firstLine="276"/>
        <w:spacing w:after="0" w:line="230" w:lineRule="auto"/>
        <w:rPr>
          <w:sz w:val="20"/>
          <w:szCs w:val="20"/>
          <w:color w:val="auto"/>
        </w:rPr>
      </w:pPr>
      <w:r>
        <w:rPr>
          <w:rFonts w:ascii="Times New Roman" w:cs="Times New Roman" w:eastAsia="Times New Roman" w:hAnsi="Times New Roman"/>
          <w:sz w:val="14"/>
          <w:szCs w:val="14"/>
          <w:color w:val="auto"/>
        </w:rPr>
        <w:t>You will not have any right to institute any proceeding in connection with the indentures or for any remedy under the indentures, unless you have previously given to the trustee written notice of a continuing event of default with respect to debt securities of that series. In addition, the holders of at least 25% in aggregate principal amount of a series of the outstanding debt securities must have made written request, and offered security or indemnity satisfactory to the trustee, to the trustee to institute that proceeding as trustee, and, within 60 days following the receipt of that notice, the trustee must not have received from the holders of a majority in aggregate principal amount of the outstanding debt securities of that series a direction inconsistent with that request, and must have failed to institute the proceeding. However, you will have an absolute and unconditional right to receive payment of the principal of, premium, if any, and interest on that debt security on or after the due dates expressed in the debt security (or, in the case of redemption, on or after the redemption date) and to institute a suit for the enforcement of that payment.</w:t>
      </w:r>
    </w:p>
    <w:p>
      <w:pPr>
        <w:spacing w:after="0" w:line="1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10" w:lineRule="exact"/>
        <w:rPr>
          <w:sz w:val="20"/>
          <w:szCs w:val="20"/>
          <w:color w:val="auto"/>
        </w:rPr>
      </w:pPr>
    </w:p>
    <w:p>
      <w:pPr>
        <w:ind w:left="1360" w:right="1599" w:firstLine="276"/>
        <w:spacing w:after="0" w:line="261" w:lineRule="auto"/>
        <w:rPr>
          <w:sz w:val="20"/>
          <w:szCs w:val="20"/>
          <w:color w:val="auto"/>
        </w:rPr>
      </w:pPr>
      <w:r>
        <w:rPr>
          <w:rFonts w:ascii="Times New Roman" w:cs="Times New Roman" w:eastAsia="Times New Roman" w:hAnsi="Times New Roman"/>
          <w:sz w:val="14"/>
          <w:szCs w:val="14"/>
          <w:color w:val="auto"/>
        </w:rPr>
        <w:t>Each indenture provides that when, among other things, all debt securities of a series not previously delivered to the trustee for cancellation:</w:t>
      </w:r>
    </w:p>
    <w:p>
      <w:pPr>
        <w:spacing w:after="0" w:line="43" w:lineRule="exact"/>
        <w:rPr>
          <w:sz w:val="20"/>
          <w:szCs w:val="20"/>
          <w:color w:val="auto"/>
        </w:rPr>
      </w:pPr>
    </w:p>
    <w:p>
      <w:pPr>
        <w:ind w:left="1780" w:hanging="147"/>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w:t>
      </w:r>
    </w:p>
    <w:p>
      <w:pPr>
        <w:spacing w:after="0" w:line="7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or</w:t>
      </w:r>
    </w:p>
    <w:p>
      <w:pPr>
        <w:spacing w:after="0" w:line="87" w:lineRule="exact"/>
        <w:rPr>
          <w:rFonts w:ascii="Times New Roman" w:cs="Times New Roman" w:eastAsia="Times New Roman" w:hAnsi="Times New Roman"/>
          <w:sz w:val="14"/>
          <w:szCs w:val="14"/>
          <w:color w:val="auto"/>
        </w:rPr>
      </w:pPr>
    </w:p>
    <w:p>
      <w:pPr>
        <w:ind w:left="1780" w:right="1439" w:hanging="147"/>
        <w:spacing w:after="0" w:line="276" w:lineRule="auto"/>
        <w:tabs>
          <w:tab w:leader="none" w:pos="17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to be called for redemption within one year under arrangements satisfactory to the trustee for the giving of notice of redemption by the trustee in our name and at our expense,</w:t>
      </w:r>
    </w:p>
    <w:p>
      <w:pPr>
        <w:spacing w:after="0" w:line="64" w:lineRule="exact"/>
        <w:rPr>
          <w:sz w:val="20"/>
          <w:szCs w:val="20"/>
          <w:color w:val="auto"/>
        </w:rPr>
      </w:pPr>
    </w:p>
    <w:p>
      <w:pPr>
        <w:ind w:left="1360" w:right="1379"/>
        <w:spacing w:after="0"/>
        <w:rPr>
          <w:sz w:val="20"/>
          <w:szCs w:val="20"/>
          <w:color w:val="auto"/>
        </w:rPr>
      </w:pPr>
      <w:r>
        <w:rPr>
          <w:rFonts w:ascii="Times New Roman" w:cs="Times New Roman" w:eastAsia="Times New Roman" w:hAnsi="Times New Roman"/>
          <w:sz w:val="14"/>
          <w:szCs w:val="14"/>
          <w:color w:val="auto"/>
        </w:rPr>
        <w:t>and we deposit or cause to be deposited with the trustee, money or United States government obligations or a combination thereof, as trust funds, in an amount (such amount to be certified in the case of United States government obligations) to be sufficient to pay and discharge the entire indebtedness on the debt securities of such series not previously delivered to the trustee for cancellation, for the principal, and premium, if any, and interest to the date of the deposit or to the stated maturity or redemption date, as the case may be, then such indenture will cease to be of further effect with respect to debt securities of such series, and we will be deemed to have satisfied and discharged such indenture with respect to debt securities of such series. However, we will continue to be obligated to pay all other sums due under such indenture and to provide the officers’ certificates and opinions of counsel described in such indenture.</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Defeasance and Covenant Defeasance</w:t>
      </w:r>
    </w:p>
    <w:p>
      <w:pPr>
        <w:spacing w:after="0" w:line="120" w:lineRule="exact"/>
        <w:rPr>
          <w:sz w:val="20"/>
          <w:szCs w:val="20"/>
          <w:color w:val="auto"/>
        </w:rPr>
      </w:pPr>
    </w:p>
    <w:p>
      <w:pPr>
        <w:ind w:left="1360" w:right="1419" w:firstLine="276"/>
        <w:spacing w:after="0"/>
        <w:rPr>
          <w:sz w:val="20"/>
          <w:szCs w:val="20"/>
          <w:color w:val="auto"/>
        </w:rPr>
      </w:pPr>
      <w:r>
        <w:rPr>
          <w:rFonts w:ascii="Times New Roman" w:cs="Times New Roman" w:eastAsia="Times New Roman" w:hAnsi="Times New Roman"/>
          <w:sz w:val="14"/>
          <w:szCs w:val="14"/>
          <w:color w:val="auto"/>
        </w:rPr>
        <w:t>Unless we state otherwise in the applicable prospectus supplement, each indenture provides that we may discharge all of our obligations, other than as to transfers and exchanges and certain other specified obligations, under any series of the debt securities at any time, and that we may also be released from our obligations described above under “Limitation upon Liens” and “Consolidation, Merger and Sale of Assets” and from certain other obligations, including obligations imposed by supplemental indentures with respect to that series, if any, and elect not to comply with those sections and obligations without creating an event of default. Discharge under the first procedure is called “defeasance” and under the second procedure is called “covenant defeasance.”</w:t>
      </w:r>
    </w:p>
    <w:p>
      <w:pPr>
        <w:spacing w:after="0" w:line="8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Defeasance or covenant defeasance may be effected only if:</w:t>
      </w:r>
    </w:p>
    <w:p>
      <w:pPr>
        <w:spacing w:after="0" w:line="87" w:lineRule="exact"/>
        <w:rPr>
          <w:sz w:val="20"/>
          <w:szCs w:val="20"/>
          <w:color w:val="auto"/>
        </w:rPr>
      </w:pPr>
    </w:p>
    <w:p>
      <w:pPr>
        <w:ind w:left="1780" w:right="1439" w:hanging="147"/>
        <w:spacing w:after="0" w:line="256"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irrevocably deposit with the trustee money or United States government obligations or a combination thereof, as trust funds in an amount certified to be sufficient to pay on the respective stated maturities, the principal of and any premium and interest on, all outstanding debt securities of that series,</w:t>
      </w:r>
    </w:p>
    <w:p>
      <w:pPr>
        <w:spacing w:after="0" w:line="48"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an opinion of counsel to the effect that:</w:t>
      </w:r>
    </w:p>
    <w:p>
      <w:pPr>
        <w:spacing w:after="0" w:line="77" w:lineRule="exact"/>
        <w:rPr>
          <w:rFonts w:ascii="Times New Roman" w:cs="Times New Roman" w:eastAsia="Times New Roman" w:hAnsi="Times New Roman"/>
          <w:sz w:val="14"/>
          <w:szCs w:val="14"/>
          <w:color w:val="auto"/>
        </w:rPr>
      </w:pPr>
    </w:p>
    <w:p>
      <w:pPr>
        <w:ind w:left="1780" w:right="1499" w:hanging="147"/>
        <w:spacing w:after="0" w:line="261" w:lineRule="auto"/>
        <w:tabs>
          <w:tab w:leader="none" w:pos="1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the debt securities of that series will not recognize gain or loss for United States federal income tax purposes as a result of the deposit, defeasance and discharge or as a result of the deposit and covenant defeasance, and</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2" w:name="page53"/>
    <w:bookmarkEnd w:id="5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80" w:right="1399" w:hanging="147"/>
        <w:spacing w:after="0" w:line="261" w:lineRule="auto"/>
        <w:tabs>
          <w:tab w:leader="none" w:pos="1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 defeasance and discharge or the deposit and covenant defeasance will not otherwise alter those holders’ United States federal income tax treatment of principal and interest payments on the debt securities of that series,</w:t>
      </w:r>
    </w:p>
    <w:p>
      <w:pPr>
        <w:spacing w:after="0" w:line="85" w:lineRule="exact"/>
        <w:rPr>
          <w:sz w:val="20"/>
          <w:szCs w:val="20"/>
          <w:color w:val="auto"/>
        </w:rPr>
      </w:pPr>
    </w:p>
    <w:p>
      <w:pPr>
        <w:ind w:left="1360" w:right="1719"/>
        <w:spacing w:after="0" w:line="254" w:lineRule="auto"/>
        <w:rPr>
          <w:sz w:val="20"/>
          <w:szCs w:val="20"/>
          <w:color w:val="auto"/>
        </w:rPr>
      </w:pPr>
      <w:r>
        <w:rPr>
          <w:rFonts w:ascii="Times New Roman" w:cs="Times New Roman" w:eastAsia="Times New Roman" w:hAnsi="Times New Roman"/>
          <w:sz w:val="14"/>
          <w:szCs w:val="14"/>
          <w:color w:val="auto"/>
        </w:rPr>
        <w:t>in the case of a defeasance, this opinion must be based on a ruling of the Internal Revenue Service or a change in United States federal income tax law occurring after the date of execution of the applicable indenture, that result would not occur under current tax law,</w:t>
      </w:r>
    </w:p>
    <w:p>
      <w:pPr>
        <w:spacing w:after="0" w:line="48" w:lineRule="exact"/>
        <w:rPr>
          <w:sz w:val="20"/>
          <w:szCs w:val="20"/>
          <w:color w:val="auto"/>
        </w:rPr>
      </w:pPr>
    </w:p>
    <w:p>
      <w:pPr>
        <w:ind w:left="1780" w:hanging="147"/>
        <w:spacing w:after="0"/>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under the indenture has occurred and is continuing,</w:t>
      </w:r>
    </w:p>
    <w:p>
      <w:pPr>
        <w:spacing w:after="0" w:line="87" w:lineRule="exact"/>
        <w:rPr>
          <w:rFonts w:ascii="Times New Roman" w:cs="Times New Roman" w:eastAsia="Times New Roman" w:hAnsi="Times New Roman"/>
          <w:sz w:val="14"/>
          <w:szCs w:val="14"/>
          <w:color w:val="auto"/>
        </w:rPr>
      </w:pPr>
    </w:p>
    <w:p>
      <w:pPr>
        <w:ind w:left="1780" w:right="1399" w:hanging="147"/>
        <w:spacing w:after="0" w:line="261" w:lineRule="auto"/>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or covenant defeasance does not result in a breach or violation of, or constitute a default under, any indenture or other agreement or instrument for borrowed money to which we are a party or by which we are bound,</w:t>
      </w:r>
    </w:p>
    <w:p>
      <w:pPr>
        <w:spacing w:after="0" w:line="54" w:lineRule="exact"/>
        <w:rPr>
          <w:rFonts w:ascii="Times New Roman" w:cs="Times New Roman" w:eastAsia="Times New Roman" w:hAnsi="Times New Roman"/>
          <w:sz w:val="14"/>
          <w:szCs w:val="14"/>
          <w:color w:val="auto"/>
        </w:rPr>
      </w:pPr>
    </w:p>
    <w:p>
      <w:pPr>
        <w:ind w:left="1780" w:right="1639" w:hanging="147"/>
        <w:spacing w:after="0" w:line="256" w:lineRule="auto"/>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or covenant defeasance does not result in the trust arising from such deposit constituting an investment company within the meaning of the Investment Company Act of 1940 unless such trust shall be registered under the Investment Company Act of 1940 or exempt from registration thereunder,</w:t>
      </w:r>
    </w:p>
    <w:p>
      <w:pPr>
        <w:spacing w:after="0" w:line="48" w:lineRule="exact"/>
        <w:rPr>
          <w:rFonts w:ascii="Times New Roman" w:cs="Times New Roman" w:eastAsia="Times New Roman" w:hAnsi="Times New Roman"/>
          <w:sz w:val="14"/>
          <w:szCs w:val="14"/>
          <w:color w:val="auto"/>
        </w:rPr>
      </w:pPr>
    </w:p>
    <w:p>
      <w:pPr>
        <w:ind w:left="1780" w:right="1619" w:hanging="147"/>
        <w:spacing w:after="0" w:line="261" w:lineRule="auto"/>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an officers’ certificate and an opinion of counsel, each stating that all conditions precedent with respect to such defeasance or covenant defeasance have been complied with, and</w:t>
      </w:r>
    </w:p>
    <w:p>
      <w:pPr>
        <w:spacing w:after="0" w:line="5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conditions specified in the indentures are met.</w:t>
      </w:r>
    </w:p>
    <w:p>
      <w:pPr>
        <w:spacing w:after="0" w:line="118" w:lineRule="exact"/>
        <w:rPr>
          <w:sz w:val="20"/>
          <w:szCs w:val="20"/>
          <w:color w:val="auto"/>
        </w:rPr>
      </w:pPr>
    </w:p>
    <w:p>
      <w:pPr>
        <w:ind w:left="1360" w:right="1399" w:firstLine="276"/>
        <w:spacing w:after="0" w:line="242" w:lineRule="auto"/>
        <w:rPr>
          <w:sz w:val="20"/>
          <w:szCs w:val="20"/>
          <w:color w:val="auto"/>
        </w:rPr>
      </w:pPr>
      <w:r>
        <w:rPr>
          <w:rFonts w:ascii="Times New Roman" w:cs="Times New Roman" w:eastAsia="Times New Roman" w:hAnsi="Times New Roman"/>
          <w:sz w:val="14"/>
          <w:szCs w:val="14"/>
          <w:color w:val="auto"/>
        </w:rPr>
        <w:t>The subordinated indenture will not be discharged as described above if we have defaulted in the payment of principal of, premium, if any, or interest on any senior indebtedness, as defined below under “Subordination under the Subordinated Indenture,” and that default is continuing or another event of default on the senior indebtedness then exists and has resulted in the senior indebtedness becoming or being declared due and payable prior to the date it otherwise would have become due and payable.</w:t>
      </w:r>
    </w:p>
    <w:p>
      <w:pPr>
        <w:spacing w:after="0" w:line="1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Conversion or Exchange</w:t>
      </w:r>
    </w:p>
    <w:p>
      <w:pPr>
        <w:spacing w:after="0" w:line="110" w:lineRule="exact"/>
        <w:rPr>
          <w:sz w:val="20"/>
          <w:szCs w:val="20"/>
          <w:color w:val="auto"/>
        </w:rPr>
      </w:pPr>
    </w:p>
    <w:p>
      <w:pPr>
        <w:ind w:left="1360" w:right="1499" w:firstLine="276"/>
        <w:spacing w:after="0" w:line="243" w:lineRule="auto"/>
        <w:rPr>
          <w:sz w:val="20"/>
          <w:szCs w:val="20"/>
          <w:color w:val="auto"/>
        </w:rPr>
      </w:pPr>
      <w:r>
        <w:rPr>
          <w:rFonts w:ascii="Times New Roman" w:cs="Times New Roman" w:eastAsia="Times New Roman" w:hAnsi="Times New Roman"/>
          <w:sz w:val="14"/>
          <w:szCs w:val="14"/>
          <w:color w:val="auto"/>
        </w:rPr>
        <w:t>We may issue debt securities that we may convert or exchange into common stock or other securities, property or assets. If so, we will describe the specific terms on which the debt securities may be converted or exchanged in the applicable prospectus supplement. The conversion or exchange may be mandatory, at your option, or at our option. The applicable prospectus supplement will describe the manner in which the shares of common stock or other securities, property or assets you would receive would be issued or delivered.</w:t>
      </w:r>
    </w:p>
    <w:p>
      <w:pPr>
        <w:spacing w:after="0" w:line="3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Subordination Under the Subordinated Indenture</w:t>
      </w:r>
    </w:p>
    <w:p>
      <w:pPr>
        <w:spacing w:after="0" w:line="120" w:lineRule="exact"/>
        <w:rPr>
          <w:sz w:val="20"/>
          <w:szCs w:val="20"/>
          <w:color w:val="auto"/>
        </w:rPr>
      </w:pPr>
    </w:p>
    <w:p>
      <w:pPr>
        <w:ind w:left="1360" w:right="1439" w:firstLine="276"/>
        <w:spacing w:after="0" w:line="246" w:lineRule="auto"/>
        <w:rPr>
          <w:sz w:val="20"/>
          <w:szCs w:val="20"/>
          <w:color w:val="auto"/>
        </w:rPr>
      </w:pPr>
      <w:r>
        <w:rPr>
          <w:rFonts w:ascii="Times New Roman" w:cs="Times New Roman" w:eastAsia="Times New Roman" w:hAnsi="Times New Roman"/>
          <w:sz w:val="14"/>
          <w:szCs w:val="14"/>
          <w:color w:val="auto"/>
        </w:rPr>
        <w:t>In the subordinated indenture, we will agree, and holders of subordinated indebtedness will be deemed to have agreed, that any subordinated debt securities are subordinate and junior in right of payment to all senior indebtedness to the extent provided in the subordinated indenture.</w:t>
      </w:r>
    </w:p>
    <w:p>
      <w:pPr>
        <w:spacing w:after="0" w:line="85" w:lineRule="exact"/>
        <w:rPr>
          <w:sz w:val="20"/>
          <w:szCs w:val="20"/>
          <w:color w:val="auto"/>
        </w:rPr>
      </w:pPr>
    </w:p>
    <w:p>
      <w:pPr>
        <w:ind w:left="1360" w:right="1499" w:firstLine="276"/>
        <w:spacing w:after="0" w:line="251" w:lineRule="auto"/>
        <w:rPr>
          <w:sz w:val="20"/>
          <w:szCs w:val="20"/>
          <w:color w:val="auto"/>
        </w:rPr>
      </w:pPr>
      <w:r>
        <w:rPr>
          <w:rFonts w:ascii="Times New Roman" w:cs="Times New Roman" w:eastAsia="Times New Roman" w:hAnsi="Times New Roman"/>
          <w:sz w:val="14"/>
          <w:szCs w:val="14"/>
          <w:color w:val="auto"/>
        </w:rPr>
        <w:t>Upon any payment or distribution of assets to creditors upon any liquidation, dissolution, winding up, reorganization, assignment for the benefit of creditors, marshaling of assets or any bankruptcy, insolvency, debt restructuring or similar proceeding in connection with our insolvency or bankruptcy, the holders of senior indebtedness will first be entitled to receive payment in full of principal of, premium, if any, and interest on the senior indebtedness before the holders of subordinated debt securities will be entitled to receive or retain any payment of the principal of, premium, if any, or interest on the subordinated debt securities.</w:t>
      </w:r>
    </w:p>
    <w:p>
      <w:pPr>
        <w:spacing w:after="0" w:line="95" w:lineRule="exact"/>
        <w:rPr>
          <w:sz w:val="20"/>
          <w:szCs w:val="20"/>
          <w:color w:val="auto"/>
        </w:rPr>
      </w:pPr>
    </w:p>
    <w:p>
      <w:pPr>
        <w:ind w:left="1360" w:right="1379" w:firstLine="276"/>
        <w:spacing w:after="0" w:line="256" w:lineRule="auto"/>
        <w:rPr>
          <w:sz w:val="20"/>
          <w:szCs w:val="20"/>
          <w:color w:val="auto"/>
        </w:rPr>
      </w:pPr>
      <w:r>
        <w:rPr>
          <w:rFonts w:ascii="Times New Roman" w:cs="Times New Roman" w:eastAsia="Times New Roman" w:hAnsi="Times New Roman"/>
          <w:sz w:val="14"/>
          <w:szCs w:val="14"/>
          <w:color w:val="auto"/>
        </w:rPr>
        <w:t>If the maturity of any subordinated debt securities is accelerated, the holders of all senior indebtedness outstanding at the time of the acceleration will first be entitled to receive payment in full of all amounts due, including any amounts due upon acceleration, before you will be entitled to receive any payment of the principal of, premium, if any, or interest on the subordinated debt securities.</w:t>
      </w:r>
    </w:p>
    <w:p>
      <w:pPr>
        <w:spacing w:after="0" w:line="89" w:lineRule="exact"/>
        <w:rPr>
          <w:sz w:val="20"/>
          <w:szCs w:val="20"/>
          <w:color w:val="auto"/>
        </w:rPr>
      </w:pPr>
    </w:p>
    <w:p>
      <w:pPr>
        <w:ind w:left="1360" w:right="1559" w:firstLine="276"/>
        <w:spacing w:after="0" w:line="276" w:lineRule="auto"/>
        <w:rPr>
          <w:sz w:val="20"/>
          <w:szCs w:val="20"/>
          <w:color w:val="auto"/>
        </w:rPr>
      </w:pPr>
      <w:r>
        <w:rPr>
          <w:rFonts w:ascii="Times New Roman" w:cs="Times New Roman" w:eastAsia="Times New Roman" w:hAnsi="Times New Roman"/>
          <w:sz w:val="14"/>
          <w:szCs w:val="14"/>
          <w:color w:val="auto"/>
        </w:rPr>
        <w:t>We will not make any payments of principal of, premium, if any, or interest on the subordinated debt securities or for the acquisition of subordinated debt securities (other than any sinking fund payment) if:</w:t>
      </w:r>
    </w:p>
    <w:p>
      <w:pPr>
        <w:spacing w:after="0" w:line="44" w:lineRule="exact"/>
        <w:rPr>
          <w:sz w:val="20"/>
          <w:szCs w:val="20"/>
          <w:color w:val="auto"/>
        </w:rPr>
      </w:pPr>
    </w:p>
    <w:p>
      <w:pPr>
        <w:ind w:left="4420" w:right="3779" w:hanging="2787"/>
        <w:spacing w:after="0" w:line="724" w:lineRule="auto"/>
        <w:tabs>
          <w:tab w:leader="none" w:pos="177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any payment on senior indebtedness then exists,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-27940</wp:posOffset>
            </wp:positionV>
            <wp:extent cx="52444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3" w:name="page54"/>
    <w:bookmarkEnd w:id="5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80" w:right="1379" w:hanging="147"/>
        <w:spacing w:after="0" w:line="258" w:lineRule="auto"/>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on any senior indebtedness resulting in the acceleration of its maturity then exists, or</w:t>
      </w:r>
    </w:p>
    <w:p>
      <w:pPr>
        <w:spacing w:after="0" w:line="240"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judicial proceeding is pending in connection with default.</w:t>
      </w:r>
    </w:p>
    <w:p>
      <w:pPr>
        <w:spacing w:after="0" w:line="118" w:lineRule="exact"/>
        <w:rPr>
          <w:sz w:val="20"/>
          <w:szCs w:val="20"/>
          <w:color w:val="auto"/>
        </w:rPr>
      </w:pPr>
    </w:p>
    <w:p>
      <w:pPr>
        <w:ind w:left="1360" w:right="1479" w:firstLine="276"/>
        <w:spacing w:after="0" w:line="276" w:lineRule="auto"/>
        <w:rPr>
          <w:sz w:val="20"/>
          <w:szCs w:val="20"/>
          <w:color w:val="auto"/>
        </w:rPr>
      </w:pPr>
      <w:r>
        <w:rPr>
          <w:rFonts w:ascii="Times New Roman" w:cs="Times New Roman" w:eastAsia="Times New Roman" w:hAnsi="Times New Roman"/>
          <w:sz w:val="14"/>
          <w:szCs w:val="14"/>
          <w:color w:val="auto"/>
        </w:rPr>
        <w:t>When we use the term “indebtedness,” we mean, with respect to any person, whether recourse is to all or a portion of the assets of that person and whether or not contingent:</w:t>
      </w:r>
    </w:p>
    <w:p>
      <w:pPr>
        <w:spacing w:after="0" w:line="44" w:lineRule="exact"/>
        <w:rPr>
          <w:sz w:val="20"/>
          <w:szCs w:val="20"/>
          <w:color w:val="auto"/>
        </w:rPr>
      </w:pPr>
    </w:p>
    <w:p>
      <w:pPr>
        <w:ind w:left="1780" w:hanging="147"/>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obligation of, or any obligation guaranteed by, that person for money borrowed,</w:t>
      </w:r>
    </w:p>
    <w:p>
      <w:pPr>
        <w:spacing w:after="0" w:line="87" w:lineRule="exact"/>
        <w:rPr>
          <w:rFonts w:ascii="Times New Roman" w:cs="Times New Roman" w:eastAsia="Times New Roman" w:hAnsi="Times New Roman"/>
          <w:sz w:val="14"/>
          <w:szCs w:val="14"/>
          <w:color w:val="auto"/>
        </w:rPr>
      </w:pPr>
    </w:p>
    <w:p>
      <w:pPr>
        <w:ind w:left="1780" w:right="1479" w:hanging="147"/>
        <w:spacing w:after="0" w:line="254" w:lineRule="auto"/>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obligation of, or any obligation guaranteed by, that person evidenced by bonds, debentures, notes or other similar instruments, including obligations incurred in connection with the acquisition of property, assets or businesses but excluding the obligation to pay the deferred purchase price of any such property, assets or business if payable in full within 90 days from the date such indebtedness was created,</w:t>
      </w:r>
    </w:p>
    <w:p>
      <w:pPr>
        <w:spacing w:after="0" w:line="58"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capital lease obligation of that person, and</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amendments, renewals, extensions, modifications and refundings of any such indebtedness.</w:t>
      </w:r>
    </w:p>
    <w:p>
      <w:pPr>
        <w:spacing w:after="0" w:line="118" w:lineRule="exact"/>
        <w:rPr>
          <w:sz w:val="20"/>
          <w:szCs w:val="20"/>
          <w:color w:val="auto"/>
        </w:rPr>
      </w:pPr>
    </w:p>
    <w:p>
      <w:pPr>
        <w:ind w:left="1360" w:right="1599" w:firstLine="276"/>
        <w:spacing w:after="0" w:line="276" w:lineRule="auto"/>
        <w:rPr>
          <w:sz w:val="20"/>
          <w:szCs w:val="20"/>
          <w:color w:val="auto"/>
        </w:rPr>
      </w:pPr>
      <w:r>
        <w:rPr>
          <w:rFonts w:ascii="Times New Roman" w:cs="Times New Roman" w:eastAsia="Times New Roman" w:hAnsi="Times New Roman"/>
          <w:sz w:val="14"/>
          <w:szCs w:val="14"/>
          <w:color w:val="auto"/>
        </w:rPr>
        <w:t>The term “indebtedness” does not include trade accounts payable or accrued liabilities arising in the ordinary course of business.</w:t>
      </w:r>
    </w:p>
    <w:p>
      <w:pPr>
        <w:spacing w:after="0" w:line="64" w:lineRule="exact"/>
        <w:rPr>
          <w:sz w:val="20"/>
          <w:szCs w:val="20"/>
          <w:color w:val="auto"/>
        </w:rPr>
      </w:pPr>
    </w:p>
    <w:p>
      <w:pPr>
        <w:ind w:left="1360" w:right="1439" w:firstLine="276"/>
        <w:spacing w:after="0" w:line="251" w:lineRule="auto"/>
        <w:rPr>
          <w:sz w:val="20"/>
          <w:szCs w:val="20"/>
          <w:color w:val="auto"/>
        </w:rPr>
      </w:pPr>
      <w:r>
        <w:rPr>
          <w:rFonts w:ascii="Times New Roman" w:cs="Times New Roman" w:eastAsia="Times New Roman" w:hAnsi="Times New Roman"/>
          <w:sz w:val="14"/>
          <w:szCs w:val="14"/>
          <w:color w:val="auto"/>
        </w:rPr>
        <w:t>When we use the term “senior indebtedness,” we mean the principal of, premium, if any, and interest on indebtedness, whether incurred on, prior to, or after the date of the subordinated indenture, unless the instrument creating or evidencing that indebtedness or pursuant to which that indebtedness is outstanding states that those obligations are not superior in right of payment to the subordinated debt securities or to other indebtedness which ranks equally with, or junior to, the subordinated debt securities. Interest on this senior indebtedness includes interest accruing on or after the filing of any petition in bankruptcy or for reorganization relating to Principal Financial Group, Inc., whether or not the claim for post-petition interest is allowed in that proceeding.</w:t>
      </w:r>
    </w:p>
    <w:p>
      <w:pPr>
        <w:spacing w:after="0" w:line="92" w:lineRule="exact"/>
        <w:rPr>
          <w:sz w:val="20"/>
          <w:szCs w:val="20"/>
          <w:color w:val="auto"/>
        </w:rPr>
      </w:pPr>
    </w:p>
    <w:p>
      <w:pPr>
        <w:ind w:left="1360" w:right="1599" w:firstLine="276"/>
        <w:spacing w:after="0" w:line="276" w:lineRule="auto"/>
        <w:rPr>
          <w:sz w:val="20"/>
          <w:szCs w:val="20"/>
          <w:color w:val="auto"/>
        </w:rPr>
      </w:pPr>
      <w:r>
        <w:rPr>
          <w:rFonts w:ascii="Times New Roman" w:cs="Times New Roman" w:eastAsia="Times New Roman" w:hAnsi="Times New Roman"/>
          <w:sz w:val="14"/>
          <w:szCs w:val="14"/>
          <w:color w:val="auto"/>
        </w:rPr>
        <w:t>The subordinated indenture does not limit the amount of additional senior indebtedness that we may incur. We expect from time to time to incur additional senior indebtedness.</w:t>
      </w:r>
    </w:p>
    <w:p>
      <w:pPr>
        <w:spacing w:after="0" w:line="75" w:lineRule="exact"/>
        <w:rPr>
          <w:sz w:val="20"/>
          <w:szCs w:val="20"/>
          <w:color w:val="auto"/>
        </w:rPr>
      </w:pPr>
    </w:p>
    <w:p>
      <w:pPr>
        <w:ind w:left="1360" w:right="1519" w:firstLine="276"/>
        <w:spacing w:after="0" w:line="261" w:lineRule="auto"/>
        <w:rPr>
          <w:sz w:val="20"/>
          <w:szCs w:val="20"/>
          <w:color w:val="auto"/>
        </w:rPr>
      </w:pPr>
      <w:r>
        <w:rPr>
          <w:rFonts w:ascii="Times New Roman" w:cs="Times New Roman" w:eastAsia="Times New Roman" w:hAnsi="Times New Roman"/>
          <w:sz w:val="14"/>
          <w:szCs w:val="14"/>
          <w:color w:val="auto"/>
        </w:rPr>
        <w:t>The subordinated indenture provides that we may change the subordination provisions relating to any particular issue of subordinated debt securities prior to issuance. We will describe any change in the prospectus supplement relating to the subordinated debt securities.</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10" w:lineRule="exact"/>
        <w:rPr>
          <w:sz w:val="20"/>
          <w:szCs w:val="20"/>
          <w:color w:val="auto"/>
        </w:rPr>
      </w:pPr>
    </w:p>
    <w:p>
      <w:pPr>
        <w:ind w:left="1360" w:right="1519" w:firstLine="276"/>
        <w:spacing w:after="0" w:line="276" w:lineRule="auto"/>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laws of the State of New York.</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Information Concerning the Trustees</w:t>
      </w:r>
    </w:p>
    <w:p>
      <w:pPr>
        <w:spacing w:after="0" w:line="120" w:lineRule="exact"/>
        <w:rPr>
          <w:sz w:val="20"/>
          <w:szCs w:val="20"/>
          <w:color w:val="auto"/>
        </w:rPr>
      </w:pPr>
    </w:p>
    <w:p>
      <w:pPr>
        <w:ind w:left="1360" w:right="1579" w:firstLine="276"/>
        <w:spacing w:after="0" w:line="254" w:lineRule="auto"/>
        <w:rPr>
          <w:sz w:val="20"/>
          <w:szCs w:val="20"/>
          <w:color w:val="auto"/>
        </w:rPr>
      </w:pPr>
      <w:r>
        <w:rPr>
          <w:rFonts w:ascii="Times New Roman" w:cs="Times New Roman" w:eastAsia="Times New Roman" w:hAnsi="Times New Roman"/>
          <w:sz w:val="14"/>
          <w:szCs w:val="14"/>
          <w:color w:val="auto"/>
        </w:rPr>
        <w:t>The trustee under each indenture will have all the duties and responsibilities of an indenture trustee specified in the Trust Indenture Act of 1939, as amended (the “Trust Indenture Act”). Neither trustee is required to expend or risk its own funds or otherwise incur financial liability in performing its duties or exercising its rights and powers if it reasonably believes that it is not reasonably assured of repayment or adequate indemnity.</w:t>
      </w:r>
    </w:p>
    <w:p>
      <w:pPr>
        <w:spacing w:after="0" w:line="90" w:lineRule="exact"/>
        <w:rPr>
          <w:sz w:val="20"/>
          <w:szCs w:val="20"/>
          <w:color w:val="auto"/>
        </w:rPr>
      </w:pPr>
    </w:p>
    <w:p>
      <w:pPr>
        <w:ind w:left="1360" w:right="1399" w:firstLine="276"/>
        <w:spacing w:after="0" w:line="276" w:lineRule="auto"/>
        <w:rPr>
          <w:sz w:val="20"/>
          <w:szCs w:val="20"/>
          <w:color w:val="auto"/>
        </w:rPr>
      </w:pPr>
      <w:r>
        <w:rPr>
          <w:rFonts w:ascii="Times New Roman" w:cs="Times New Roman" w:eastAsia="Times New Roman" w:hAnsi="Times New Roman"/>
          <w:sz w:val="14"/>
          <w:szCs w:val="14"/>
          <w:color w:val="auto"/>
        </w:rPr>
        <w:t>Each of the trustees may act as depositary for funds of, makes loans to, and performs other services for, us and our subsidiaries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4" w:name="page55"/>
    <w:bookmarkEnd w:id="54"/>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JUNIOR SUBORDINATED DEBT SECURITIES</w:t>
      </w:r>
    </w:p>
    <w:p>
      <w:pPr>
        <w:spacing w:after="0" w:line="120" w:lineRule="exact"/>
        <w:rPr>
          <w:sz w:val="20"/>
          <w:szCs w:val="20"/>
          <w:color w:val="auto"/>
        </w:rPr>
      </w:pPr>
    </w:p>
    <w:p>
      <w:pPr>
        <w:ind w:left="1360" w:right="1399" w:firstLine="276"/>
        <w:spacing w:after="0" w:line="254" w:lineRule="auto"/>
        <w:rPr>
          <w:sz w:val="20"/>
          <w:szCs w:val="20"/>
          <w:color w:val="auto"/>
        </w:rPr>
      </w:pPr>
      <w:r>
        <w:rPr>
          <w:rFonts w:ascii="Times New Roman" w:cs="Times New Roman" w:eastAsia="Times New Roman" w:hAnsi="Times New Roman"/>
          <w:sz w:val="14"/>
          <w:szCs w:val="14"/>
          <w:color w:val="auto"/>
        </w:rPr>
        <w:t>We may offer junior subordinated debt securities. We refer to the junior subordinated debt securities in this prospectus as the “junior subordinated debt securities.” The junior subordinated securities will be unsecured, subordinate and junior in right of payment, as described in the junior subordinated indenture, to all of our senior indebtedness as defined in the junior subordinated indenture, which includes all debt issued under our senior indenture or subordinated indenture.</w:t>
      </w:r>
    </w:p>
    <w:p>
      <w:pPr>
        <w:spacing w:after="0" w:line="90" w:lineRule="exact"/>
        <w:rPr>
          <w:sz w:val="20"/>
          <w:szCs w:val="20"/>
          <w:color w:val="auto"/>
        </w:rPr>
      </w:pPr>
    </w:p>
    <w:p>
      <w:pPr>
        <w:ind w:left="1360" w:right="1559" w:firstLine="276"/>
        <w:spacing w:after="0" w:line="261" w:lineRule="auto"/>
        <w:rPr>
          <w:sz w:val="20"/>
          <w:szCs w:val="20"/>
          <w:color w:val="auto"/>
        </w:rPr>
      </w:pPr>
      <w:r>
        <w:rPr>
          <w:rFonts w:ascii="Times New Roman" w:cs="Times New Roman" w:eastAsia="Times New Roman" w:hAnsi="Times New Roman"/>
          <w:sz w:val="14"/>
          <w:szCs w:val="14"/>
          <w:color w:val="auto"/>
        </w:rPr>
        <w:t>We will issue the junior subordinated debt securities in one or more series under an indenture, which we refer to as the “junior subordinated indenture,” entered into among us, the Subsidiary Guarantor, as guarantor, and The Bank of New York Mellon Trust Company, N.A., as trustee, dated as of May 7, 2015.</w:t>
      </w:r>
    </w:p>
    <w:p>
      <w:pPr>
        <w:spacing w:after="0" w:line="75" w:lineRule="exact"/>
        <w:rPr>
          <w:sz w:val="20"/>
          <w:szCs w:val="20"/>
          <w:color w:val="auto"/>
        </w:rPr>
      </w:pPr>
    </w:p>
    <w:p>
      <w:pPr>
        <w:ind w:left="1360" w:right="1439" w:firstLine="276"/>
        <w:spacing w:after="0" w:line="252" w:lineRule="auto"/>
        <w:rPr>
          <w:sz w:val="20"/>
          <w:szCs w:val="20"/>
          <w:color w:val="auto"/>
        </w:rPr>
      </w:pPr>
      <w:r>
        <w:rPr>
          <w:rFonts w:ascii="Times New Roman" w:cs="Times New Roman" w:eastAsia="Times New Roman" w:hAnsi="Times New Roman"/>
          <w:sz w:val="14"/>
          <w:szCs w:val="14"/>
          <w:color w:val="auto"/>
        </w:rPr>
        <w:t>We may from time to time and without notice to, or consent of, the holders of the junior subordinated debt securities, create and issue additional junior subordinated debt securities under the junior subordinated indenture having the same terms and conditions as existing junior subordinated debt securities, so that such additional junior subordinated debt securities may be consolidated and form a single series with existing junior subordinated debt securities and have the same terms as to ranking, status, redemption and otherwise as existing junior subordinated debt securities.</w:t>
      </w:r>
    </w:p>
    <w:p>
      <w:pPr>
        <w:spacing w:after="0" w:line="93" w:lineRule="exact"/>
        <w:rPr>
          <w:sz w:val="20"/>
          <w:szCs w:val="20"/>
          <w:color w:val="auto"/>
        </w:rPr>
      </w:pPr>
    </w:p>
    <w:p>
      <w:pPr>
        <w:ind w:left="1360" w:right="1399" w:firstLine="276"/>
        <w:spacing w:after="0" w:line="250" w:lineRule="auto"/>
        <w:rPr>
          <w:sz w:val="20"/>
          <w:szCs w:val="20"/>
          <w:color w:val="auto"/>
        </w:rPr>
      </w:pPr>
      <w:r>
        <w:rPr>
          <w:rFonts w:ascii="Times New Roman" w:cs="Times New Roman" w:eastAsia="Times New Roman" w:hAnsi="Times New Roman"/>
          <w:sz w:val="14"/>
          <w:szCs w:val="14"/>
          <w:color w:val="auto"/>
        </w:rPr>
        <w:t>The following description of the terms of the junior subordinated debt securities is a summary. It summarizes only those terms of the junior subordinated debt securities which we believe will be most important to your decision to invest in our junior subordinated debt securities. You should keep in mind, however, that it is the junior subordinated indenture, and not this summary, which defines your rights as a holder of our junior subordinated debt securities. There may be other provisions in the junior subordinated indenture which are also important to you. You should read the junior subordinated indenture for a full description of the terms of the junior subordinated debt securities. The junior subordinated indenture is filed as an exhibit to the registration statement that includes this prospectus. See “Where You Can Find More Information” for information on how to obtain a copy of the junior subordinated indenture.</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Ranking of the Junior Subordinated Debt Securities</w:t>
      </w:r>
    </w:p>
    <w:p>
      <w:pPr>
        <w:spacing w:after="0" w:line="120" w:lineRule="exact"/>
        <w:rPr>
          <w:sz w:val="20"/>
          <w:szCs w:val="20"/>
          <w:color w:val="auto"/>
        </w:rPr>
      </w:pPr>
    </w:p>
    <w:p>
      <w:pPr>
        <w:ind w:left="1360" w:right="1459" w:firstLine="276"/>
        <w:spacing w:after="0" w:line="256" w:lineRule="auto"/>
        <w:rPr>
          <w:sz w:val="20"/>
          <w:szCs w:val="20"/>
          <w:color w:val="auto"/>
        </w:rPr>
      </w:pPr>
      <w:r>
        <w:rPr>
          <w:rFonts w:ascii="Times New Roman" w:cs="Times New Roman" w:eastAsia="Times New Roman" w:hAnsi="Times New Roman"/>
          <w:sz w:val="14"/>
          <w:szCs w:val="14"/>
          <w:color w:val="auto"/>
        </w:rPr>
        <w:t>The junior subordinated debt securities will be unsecured obligations and will rank equally in right of payment with all of our other junior subordinated obligations, including, unless otherwise specified in the prospectus supplement relating to such series or such securities, all other series of junior subordinated debt securities. See “— Subordination.”</w:t>
      </w:r>
    </w:p>
    <w:p>
      <w:pPr>
        <w:spacing w:after="0" w:line="79" w:lineRule="exact"/>
        <w:rPr>
          <w:sz w:val="20"/>
          <w:szCs w:val="20"/>
          <w:color w:val="auto"/>
        </w:rPr>
      </w:pPr>
    </w:p>
    <w:p>
      <w:pPr>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We are an insurance holding company with no direct operations whose assets include all of the outstanding shares of common stock of the Subsidiary Guarantor. The Subsidiary Guarantor is an intermediary holding company with no direct operations whose assets include all of the outstanding shares of Principal Life and other subsidiaries. As a consequence, our ability to satisfy our obligations under the junior subordinated debt securities and the Subsidiary Guarantor’s ability to satisfy its obligations under the subsidiary guarantee will depend in large part on the ability of our insurance company and other subsidiaries to declare and distribute dividends or to advance money in the form of intercompany loans.</w:t>
      </w:r>
    </w:p>
    <w:p>
      <w:pPr>
        <w:spacing w:after="0" w:line="95" w:lineRule="exact"/>
        <w:rPr>
          <w:sz w:val="20"/>
          <w:szCs w:val="20"/>
          <w:color w:val="auto"/>
        </w:rPr>
      </w:pPr>
    </w:p>
    <w:p>
      <w:pPr>
        <w:ind w:left="1360" w:right="1499" w:firstLine="276"/>
        <w:spacing w:after="0" w:line="251" w:lineRule="auto"/>
        <w:rPr>
          <w:sz w:val="20"/>
          <w:szCs w:val="20"/>
          <w:color w:val="auto"/>
        </w:rPr>
      </w:pPr>
      <w:r>
        <w:rPr>
          <w:rFonts w:ascii="Times New Roman" w:cs="Times New Roman" w:eastAsia="Times New Roman" w:hAnsi="Times New Roman"/>
          <w:sz w:val="14"/>
          <w:szCs w:val="14"/>
          <w:color w:val="auto"/>
        </w:rPr>
        <w:t>Our insurance company subsidiaries are subject to various statutory and regulatory restrictions, applicable to insurance companies generally, that limit the amount of cash dividends, loans and advances that those subsidiaries may pay. Regulations relating to capital requirements affecting some of our other subsidiaries also restrict their ability to pay dividends and other distributions and make loans to us. The payment of dividends from Principal Life to the Subsidiary Guarantor is subject to restrictions set forth in the insurance laws of the State of Iowa. As a result, our cash flows and ability to service our obligations, including the junior subordinated debt securities, are dependent upon the earnings of our subsidiaries, distributions of those earnings to us and other payments or distributions of funds by our subsidiaries to us.</w:t>
      </w:r>
    </w:p>
    <w:p>
      <w:pPr>
        <w:spacing w:after="0" w:line="92" w:lineRule="exact"/>
        <w:rPr>
          <w:sz w:val="20"/>
          <w:szCs w:val="20"/>
          <w:color w:val="auto"/>
        </w:rPr>
      </w:pPr>
    </w:p>
    <w:p>
      <w:pPr>
        <w:ind w:left="1360" w:right="1439" w:firstLine="276"/>
        <w:spacing w:after="0" w:line="256" w:lineRule="auto"/>
        <w:rPr>
          <w:sz w:val="20"/>
          <w:szCs w:val="20"/>
          <w:color w:val="auto"/>
        </w:rPr>
      </w:pPr>
      <w:r>
        <w:rPr>
          <w:rFonts w:ascii="Times New Roman" w:cs="Times New Roman" w:eastAsia="Times New Roman" w:hAnsi="Times New Roman"/>
          <w:sz w:val="14"/>
          <w:szCs w:val="14"/>
          <w:color w:val="auto"/>
        </w:rPr>
        <w:t>In addition, the junior subordinated debt securities will be effectively subordinated to all existing and future liabilities of our subsidiaries, including those of the Subsidiary Guarantor, and the subsidiary guarantee will be effectively subordinated to all existing and future liabilities of the Subsidiary Guarantor’s subsidiaries, including obligations to policyholders.</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5" w:name="page56"/>
    <w:bookmarkEnd w:id="5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539" w:firstLine="276"/>
        <w:spacing w:after="0" w:line="246"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junior subordinated indenture does not limit us from incurring or issuing other secured or unsecured debt under the junior subordinated indenture or any other indenture that we may have entered into or enter into in the future. See “— Subordination” and the prospectus supplement relating to any offering of securities.</w:t>
      </w:r>
    </w:p>
    <w:p>
      <w:pPr>
        <w:spacing w:after="0" w:line="14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Terms of the Junior Subordinated Debt Securities</w:t>
      </w:r>
    </w:p>
    <w:p>
      <w:pPr>
        <w:spacing w:after="0" w:line="110" w:lineRule="exact"/>
        <w:rPr>
          <w:sz w:val="20"/>
          <w:szCs w:val="20"/>
          <w:color w:val="auto"/>
        </w:rPr>
      </w:pPr>
    </w:p>
    <w:p>
      <w:pPr>
        <w:ind w:left="1360" w:right="1599" w:firstLine="276"/>
        <w:spacing w:after="0" w:line="254" w:lineRule="auto"/>
        <w:rPr>
          <w:sz w:val="20"/>
          <w:szCs w:val="20"/>
          <w:color w:val="auto"/>
        </w:rPr>
      </w:pPr>
      <w:r>
        <w:rPr>
          <w:rFonts w:ascii="Times New Roman" w:cs="Times New Roman" w:eastAsia="Times New Roman" w:hAnsi="Times New Roman"/>
          <w:sz w:val="14"/>
          <w:szCs w:val="14"/>
          <w:color w:val="auto"/>
        </w:rPr>
        <w:t>We may issue the junior subordinated debt securities in one or more series through an indenture that supplements the junior subordinated indenture or through a resolution of our board of directors or an authorized committee of our board of directors.</w:t>
      </w:r>
    </w:p>
    <w:p>
      <w:pPr>
        <w:spacing w:after="0" w:line="79" w:lineRule="exact"/>
        <w:rPr>
          <w:sz w:val="20"/>
          <w:szCs w:val="20"/>
          <w:color w:val="auto"/>
        </w:rPr>
      </w:pPr>
    </w:p>
    <w:p>
      <w:pPr>
        <w:ind w:left="1360" w:right="2059" w:firstLine="276"/>
        <w:spacing w:after="0" w:line="261" w:lineRule="auto"/>
        <w:rPr>
          <w:sz w:val="20"/>
          <w:szCs w:val="20"/>
          <w:color w:val="auto"/>
        </w:rPr>
      </w:pPr>
      <w:r>
        <w:rPr>
          <w:rFonts w:ascii="Times New Roman" w:cs="Times New Roman" w:eastAsia="Times New Roman" w:hAnsi="Times New Roman"/>
          <w:sz w:val="14"/>
          <w:szCs w:val="14"/>
          <w:color w:val="auto"/>
        </w:rPr>
        <w:t>You should refer to the applicable prospectus supplement for the specific terms of the junior subordinated debt securities. These may include:</w:t>
      </w:r>
    </w:p>
    <w:p>
      <w:pPr>
        <w:spacing w:after="0" w:line="43" w:lineRule="exact"/>
        <w:rPr>
          <w:sz w:val="20"/>
          <w:szCs w:val="20"/>
          <w:color w:val="auto"/>
        </w:rPr>
      </w:pPr>
    </w:p>
    <w:p>
      <w:pPr>
        <w:ind w:left="1780" w:hanging="147"/>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any limit upon the aggregate principal amount,</w:t>
      </w:r>
    </w:p>
    <w:p>
      <w:pPr>
        <w:spacing w:after="0" w:line="7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principal is payable or the method of determining those date(s),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of determining these interest rate(s),</w:t>
      </w:r>
    </w:p>
    <w:p>
      <w:pPr>
        <w:spacing w:after="0" w:line="7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be payable or the method of determining these date(s),</w:t>
      </w:r>
    </w:p>
    <w:p>
      <w:pPr>
        <w:spacing w:after="0" w:line="7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circumstances in which interest may be deferred, if any,</w:t>
      </w:r>
    </w:p>
    <w:p>
      <w:pPr>
        <w:spacing w:after="0" w:line="7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regular record date or the method of determining this date,</w:t>
      </w:r>
    </w:p>
    <w:p>
      <w:pPr>
        <w:spacing w:after="0" w:line="7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we may pay principal, premium, if any, and interest,</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or early payment provisions,</w:t>
      </w:r>
    </w:p>
    <w:p>
      <w:pPr>
        <w:spacing w:after="0" w:line="7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denominations,</w:t>
      </w:r>
    </w:p>
    <w:p>
      <w:pPr>
        <w:spacing w:after="0" w:line="77" w:lineRule="exact"/>
        <w:rPr>
          <w:rFonts w:ascii="Times New Roman" w:cs="Times New Roman" w:eastAsia="Times New Roman" w:hAnsi="Times New Roman"/>
          <w:sz w:val="14"/>
          <w:szCs w:val="14"/>
          <w:color w:val="auto"/>
        </w:rPr>
      </w:pPr>
    </w:p>
    <w:p>
      <w:pPr>
        <w:ind w:left="1780" w:right="147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we may pay the purchase price for, the principal of, premium, if any, and interest on the junior subordinated debt securities,</w:t>
      </w:r>
    </w:p>
    <w:p>
      <w:pPr>
        <w:spacing w:after="0" w:line="33" w:lineRule="exact"/>
        <w:rPr>
          <w:rFonts w:ascii="Times New Roman" w:cs="Times New Roman" w:eastAsia="Times New Roman" w:hAnsi="Times New Roman"/>
          <w:sz w:val="14"/>
          <w:szCs w:val="14"/>
          <w:color w:val="auto"/>
        </w:rPr>
      </w:pPr>
    </w:p>
    <w:p>
      <w:pPr>
        <w:ind w:left="1780" w:right="153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or any changes in any of our covenants specified in the junior subordinated indenture,</w:t>
      </w:r>
    </w:p>
    <w:p>
      <w:pPr>
        <w:spacing w:after="0" w:line="33" w:lineRule="exact"/>
        <w:rPr>
          <w:rFonts w:ascii="Times New Roman" w:cs="Times New Roman" w:eastAsia="Times New Roman" w:hAnsi="Times New Roman"/>
          <w:sz w:val="14"/>
          <w:szCs w:val="14"/>
          <w:color w:val="auto"/>
        </w:rPr>
      </w:pPr>
    </w:p>
    <w:p>
      <w:pPr>
        <w:ind w:left="1780" w:right="159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of the junior subordinated debt securities, the portion of the principal amount that will be payable upon acceleration of the date on which principal is payable,</w:t>
      </w:r>
    </w:p>
    <w:p>
      <w:pPr>
        <w:spacing w:after="0" w:line="43" w:lineRule="exact"/>
        <w:rPr>
          <w:rFonts w:ascii="Times New Roman" w:cs="Times New Roman" w:eastAsia="Times New Roman" w:hAnsi="Times New Roman"/>
          <w:sz w:val="14"/>
          <w:szCs w:val="14"/>
          <w:color w:val="auto"/>
        </w:rPr>
      </w:pPr>
    </w:p>
    <w:p>
      <w:pPr>
        <w:ind w:left="1780" w:right="1719" w:hanging="147"/>
        <w:spacing w:after="0" w:line="261"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to the junior subordinated indenture necessary for the issuance of junior subordinated debt securities in bearer form, registrable as to principal or not and with interest coupons or not,</w:t>
      </w:r>
    </w:p>
    <w:p>
      <w:pPr>
        <w:spacing w:after="0" w:line="44" w:lineRule="exact"/>
        <w:rPr>
          <w:rFonts w:ascii="Times New Roman" w:cs="Times New Roman" w:eastAsia="Times New Roman" w:hAnsi="Times New Roman"/>
          <w:sz w:val="14"/>
          <w:szCs w:val="14"/>
          <w:color w:val="auto"/>
        </w:rPr>
      </w:pPr>
    </w:p>
    <w:p>
      <w:pPr>
        <w:ind w:left="1780" w:right="147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index or indices used to determine the amount of payments of principal and premium, if any, or the method of determining these amounts,</w:t>
      </w:r>
    </w:p>
    <w:p>
      <w:pPr>
        <w:spacing w:after="0" w:line="33" w:lineRule="exact"/>
        <w:rPr>
          <w:rFonts w:ascii="Times New Roman" w:cs="Times New Roman" w:eastAsia="Times New Roman" w:hAnsi="Times New Roman"/>
          <w:sz w:val="14"/>
          <w:szCs w:val="14"/>
          <w:color w:val="auto"/>
        </w:rPr>
      </w:pPr>
    </w:p>
    <w:p>
      <w:pPr>
        <w:ind w:left="1780" w:right="157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 temporary global security will be issued and the terms upon which you may exchange a temporary global security for definitive junior subordinated debt securities,</w:t>
      </w:r>
    </w:p>
    <w:p>
      <w:pPr>
        <w:spacing w:after="0" w:line="33" w:lineRule="exact"/>
        <w:rPr>
          <w:rFonts w:ascii="Times New Roman" w:cs="Times New Roman" w:eastAsia="Times New Roman" w:hAnsi="Times New Roman"/>
          <w:sz w:val="14"/>
          <w:szCs w:val="14"/>
          <w:color w:val="auto"/>
        </w:rPr>
      </w:pPr>
    </w:p>
    <w:p>
      <w:pPr>
        <w:ind w:left="1780" w:right="147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issue the junior subordinated debt securities, in whole or in part, in the form of one or more global securities,</w:t>
      </w:r>
    </w:p>
    <w:p>
      <w:pPr>
        <w:spacing w:after="0" w:line="33" w:lineRule="exact"/>
        <w:rPr>
          <w:rFonts w:ascii="Times New Roman" w:cs="Times New Roman" w:eastAsia="Times New Roman" w:hAnsi="Times New Roman"/>
          <w:sz w:val="14"/>
          <w:szCs w:val="14"/>
          <w:color w:val="auto"/>
        </w:rPr>
      </w:pPr>
    </w:p>
    <w:p>
      <w:pPr>
        <w:ind w:left="1780" w:right="181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the trustee or any person authorized to pay principal, premium, if any, and interest,</w:t>
      </w:r>
    </w:p>
    <w:p>
      <w:pPr>
        <w:spacing w:after="0" w:line="33" w:lineRule="exact"/>
        <w:rPr>
          <w:rFonts w:ascii="Times New Roman" w:cs="Times New Roman" w:eastAsia="Times New Roman" w:hAnsi="Times New Roman"/>
          <w:sz w:val="14"/>
          <w:szCs w:val="14"/>
          <w:color w:val="auto"/>
        </w:rPr>
      </w:pPr>
    </w:p>
    <w:p>
      <w:pPr>
        <w:ind w:left="1780" w:right="147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any obligation or right we would have to convert or exchange the junior subordinated debt securities into cash or other securities or property,</w:t>
      </w:r>
    </w:p>
    <w:p>
      <w:pPr>
        <w:spacing w:after="0" w:line="33" w:lineRule="exact"/>
        <w:rPr>
          <w:rFonts w:ascii="Times New Roman" w:cs="Times New Roman" w:eastAsia="Times New Roman" w:hAnsi="Times New Roman"/>
          <w:sz w:val="14"/>
          <w:szCs w:val="14"/>
          <w:color w:val="auto"/>
        </w:rPr>
      </w:pPr>
    </w:p>
    <w:p>
      <w:pPr>
        <w:ind w:left="1780" w:right="137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junior subordinated debt securities will be senior or subordinated to other series of junior subordinated debt securities, and whether other subordination provisions will apply,</w:t>
      </w:r>
    </w:p>
    <w:p>
      <w:pPr>
        <w:spacing w:after="0" w:line="33" w:lineRule="exact"/>
        <w:rPr>
          <w:rFonts w:ascii="Times New Roman" w:cs="Times New Roman" w:eastAsia="Times New Roman" w:hAnsi="Times New Roman"/>
          <w:sz w:val="14"/>
          <w:szCs w:val="14"/>
          <w:color w:val="auto"/>
        </w:rPr>
      </w:pPr>
    </w:p>
    <w:p>
      <w:pPr>
        <w:ind w:left="1780" w:right="175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granting special rights to holders of the junior subordinated debt securities upon the occurrence of specific events,</w:t>
      </w:r>
    </w:p>
    <w:p>
      <w:pPr>
        <w:spacing w:after="0" w:line="33" w:lineRule="exact"/>
        <w:rPr>
          <w:rFonts w:ascii="Times New Roman" w:cs="Times New Roman" w:eastAsia="Times New Roman" w:hAnsi="Times New Roman"/>
          <w:sz w:val="14"/>
          <w:szCs w:val="14"/>
          <w:color w:val="auto"/>
        </w:rPr>
      </w:pPr>
    </w:p>
    <w:p>
      <w:pPr>
        <w:ind w:left="1780" w:right="1499" w:hanging="147"/>
        <w:spacing w:after="0" w:line="276" w:lineRule="auto"/>
        <w:tabs>
          <w:tab w:leader="none" w:pos="1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junior subordinated debt securities will be defeasible, and the manner in which we will evidence any choice to defease the junior subordinated debt securities,</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6" w:name="page57"/>
    <w:bookmarkEnd w:id="5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80" w:hanging="147"/>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special tax considerations of the junior subordinated debt securities,</w:t>
      </w:r>
    </w:p>
    <w:p>
      <w:pPr>
        <w:spacing w:after="0" w:line="87" w:lineRule="exact"/>
        <w:rPr>
          <w:rFonts w:ascii="Times New Roman" w:cs="Times New Roman" w:eastAsia="Times New Roman" w:hAnsi="Times New Roman"/>
          <w:sz w:val="14"/>
          <w:szCs w:val="14"/>
          <w:color w:val="auto"/>
        </w:rPr>
      </w:pPr>
    </w:p>
    <w:p>
      <w:pPr>
        <w:ind w:left="1780" w:right="1459" w:hanging="147"/>
        <w:spacing w:after="0" w:line="276"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right of the Trustee or holders of the junior subordinated debt securities to declare principal due and payable,</w:t>
      </w:r>
    </w:p>
    <w:p>
      <w:pPr>
        <w:spacing w:after="0" w:line="43" w:lineRule="exact"/>
        <w:rPr>
          <w:rFonts w:ascii="Times New Roman" w:cs="Times New Roman" w:eastAsia="Times New Roman" w:hAnsi="Times New Roman"/>
          <w:sz w:val="14"/>
          <w:szCs w:val="14"/>
          <w:color w:val="auto"/>
        </w:rPr>
      </w:pPr>
    </w:p>
    <w:p>
      <w:pPr>
        <w:ind w:left="1780" w:right="1479" w:hanging="147"/>
        <w:spacing w:after="0" w:line="276"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the junior subordinated indenture that do not apply to the junior subordinated debt securities,</w:t>
      </w:r>
    </w:p>
    <w:p>
      <w:pPr>
        <w:spacing w:after="0" w:line="33" w:lineRule="exact"/>
        <w:rPr>
          <w:rFonts w:ascii="Times New Roman" w:cs="Times New Roman" w:eastAsia="Times New Roman" w:hAnsi="Times New Roman"/>
          <w:sz w:val="14"/>
          <w:szCs w:val="14"/>
          <w:color w:val="auto"/>
        </w:rPr>
      </w:pPr>
    </w:p>
    <w:p>
      <w:pPr>
        <w:ind w:left="1780" w:right="1399" w:hanging="147"/>
        <w:spacing w:after="0" w:line="261" w:lineRule="auto"/>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the junior subordinated debt securities are non-convertible, whether the Subsidiary Guarantor will guarantee, on an unsecured junior subordinated basis, our obligations under the junior subordinated debt securities and, if so, the material terms of the subsidiary guarantee, and</w:t>
      </w:r>
    </w:p>
    <w:p>
      <w:pPr>
        <w:spacing w:after="0" w:line="5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special terms of such junior subordinated debt securities or related guarantee.</w:t>
      </w:r>
    </w:p>
    <w:p>
      <w:pPr>
        <w:spacing w:after="0" w:line="1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Special Payment Terms of the Junior Subordinated Debt Securities</w:t>
      </w:r>
    </w:p>
    <w:p>
      <w:pPr>
        <w:spacing w:after="0" w:line="120" w:lineRule="exact"/>
        <w:rPr>
          <w:sz w:val="20"/>
          <w:szCs w:val="20"/>
          <w:color w:val="auto"/>
        </w:rPr>
      </w:pPr>
    </w:p>
    <w:p>
      <w:pPr>
        <w:ind w:left="1360" w:right="1439" w:firstLine="276"/>
        <w:spacing w:after="0" w:line="246" w:lineRule="auto"/>
        <w:rPr>
          <w:sz w:val="20"/>
          <w:szCs w:val="20"/>
          <w:color w:val="auto"/>
        </w:rPr>
      </w:pPr>
      <w:r>
        <w:rPr>
          <w:rFonts w:ascii="Times New Roman" w:cs="Times New Roman" w:eastAsia="Times New Roman" w:hAnsi="Times New Roman"/>
          <w:sz w:val="14"/>
          <w:szCs w:val="14"/>
          <w:color w:val="auto"/>
        </w:rPr>
        <w:t>We may issue junior subordinated debt securities at a substantial discount below their stated principal amount, bearing no interest or interest at a rate which at the time of issuance is below market rates. We will describe United States federal income tax consequences and special considerations relating to any junior subordinated debt securities in the applicable prospectus supplement.</w:t>
      </w:r>
    </w:p>
    <w:p>
      <w:pPr>
        <w:spacing w:after="0" w:line="85" w:lineRule="exact"/>
        <w:rPr>
          <w:sz w:val="20"/>
          <w:szCs w:val="20"/>
          <w:color w:val="auto"/>
        </w:rPr>
      </w:pPr>
    </w:p>
    <w:p>
      <w:pPr>
        <w:ind w:left="1360" w:right="1399" w:firstLine="276"/>
        <w:spacing w:after="0" w:line="241" w:lineRule="auto"/>
        <w:rPr>
          <w:sz w:val="20"/>
          <w:szCs w:val="20"/>
          <w:color w:val="auto"/>
        </w:rPr>
      </w:pPr>
      <w:r>
        <w:rPr>
          <w:rFonts w:ascii="Times New Roman" w:cs="Times New Roman" w:eastAsia="Times New Roman" w:hAnsi="Times New Roman"/>
          <w:sz w:val="14"/>
          <w:szCs w:val="14"/>
          <w:color w:val="auto"/>
        </w:rPr>
        <w:t>The purchase price of any of the junior subordinated debt securities may be payable in one or more foreign currencies or currency units. The junior subordinated debt securities may be denominated in one or more foreign currencies or currency units, or the principal of, premium, if any, or interest on any junior subordinated debt securities may be payable in one or more foreign currencies or currency units. We will describe the restrictions, elections, United States federal income tax considerations, specific terms and other information relating to the junior subordinated debt securities and the foreign currency units in the applicable prospectus supplement.</w:t>
      </w:r>
    </w:p>
    <w:p>
      <w:pPr>
        <w:spacing w:after="0" w:line="90" w:lineRule="exact"/>
        <w:rPr>
          <w:sz w:val="20"/>
          <w:szCs w:val="20"/>
          <w:color w:val="auto"/>
        </w:rPr>
      </w:pPr>
    </w:p>
    <w:p>
      <w:pPr>
        <w:ind w:left="1360" w:right="1539" w:firstLine="276"/>
        <w:spacing w:after="0" w:line="246" w:lineRule="auto"/>
        <w:rPr>
          <w:sz w:val="20"/>
          <w:szCs w:val="20"/>
          <w:color w:val="auto"/>
        </w:rPr>
      </w:pPr>
      <w:r>
        <w:rPr>
          <w:rFonts w:ascii="Times New Roman" w:cs="Times New Roman" w:eastAsia="Times New Roman" w:hAnsi="Times New Roman"/>
          <w:sz w:val="14"/>
          <w:szCs w:val="14"/>
          <w:color w:val="auto"/>
        </w:rPr>
        <w:t>If we use any index to determine the amount of payments of principal of, premium, if any, or interest on any series of junior subordinated debt securities, we will also describe special United States federal income tax, accounting and other considerations relating to the junior subordinated debt securities in the applicable prospectus supplement.</w:t>
      </w:r>
    </w:p>
    <w:p>
      <w:pPr>
        <w:spacing w:after="0" w:line="1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Denominations, Registration and Transfer</w:t>
      </w:r>
    </w:p>
    <w:p>
      <w:pPr>
        <w:spacing w:after="0" w:line="120" w:lineRule="exact"/>
        <w:rPr>
          <w:sz w:val="20"/>
          <w:szCs w:val="20"/>
          <w:color w:val="auto"/>
        </w:rPr>
      </w:pPr>
    </w:p>
    <w:p>
      <w:pPr>
        <w:ind w:left="1360" w:right="1379" w:firstLine="276"/>
        <w:spacing w:after="0"/>
        <w:rPr>
          <w:sz w:val="20"/>
          <w:szCs w:val="20"/>
          <w:color w:val="auto"/>
        </w:rPr>
      </w:pPr>
      <w:r>
        <w:rPr>
          <w:rFonts w:ascii="Times New Roman" w:cs="Times New Roman" w:eastAsia="Times New Roman" w:hAnsi="Times New Roman"/>
          <w:sz w:val="14"/>
          <w:szCs w:val="14"/>
          <w:color w:val="auto"/>
        </w:rPr>
        <w:t>Unless we state otherwise in the applicable prospectus supplement, we will issue the junior subordinated debt securities only in registered form without coupons in denominations of $1,000 and any integral multiple of $1,000. Junior subordinated debt securities of any series will be exchangeable for other junior subordinated debt securities of the same issue and series, of any authorized denomination of a like aggregate principal amount, of the same original issue date and stated maturity and bearing the same interest rate.</w:t>
      </w:r>
    </w:p>
    <w:p>
      <w:pPr>
        <w:spacing w:after="0" w:line="2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You may present junior subordinated debt securities for exchange as described above, or for</w:t>
      </w:r>
    </w:p>
    <w:p>
      <w:pPr>
        <w:spacing w:after="0" w:line="20" w:lineRule="exact"/>
        <w:rPr>
          <w:sz w:val="20"/>
          <w:szCs w:val="20"/>
          <w:color w:val="auto"/>
        </w:rPr>
      </w:pPr>
    </w:p>
    <w:p>
      <w:pPr>
        <w:ind w:left="1360" w:right="1399"/>
        <w:spacing w:after="0"/>
        <w:rPr>
          <w:sz w:val="20"/>
          <w:szCs w:val="20"/>
          <w:color w:val="auto"/>
        </w:rPr>
      </w:pPr>
      <w:r>
        <w:rPr>
          <w:rFonts w:ascii="Times New Roman" w:cs="Times New Roman" w:eastAsia="Times New Roman" w:hAnsi="Times New Roman"/>
          <w:sz w:val="14"/>
          <w:szCs w:val="14"/>
          <w:color w:val="auto"/>
        </w:rPr>
        <w:t>registration of transfer, at the office of the securities registrar or at the office of any transfer agent we designate for that purpose. You will not incur a service charge, but you may be obligated to pay any taxes and other governmental charges as described in the junior subordinated indenture. We will appoint the trustee as securities registrar under the junior subordinated indenture. We may at any time rescind the designation of any transfer agent that we initially designate or approve a change in the location through which the transfer agent acts. We must maintain a transfer agent in each place of payment. We will specify the transfer agent in the applicable prospectus supplement. We may at any time designate additional transfer agents.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If we redeem any junior subordinated debt securities, neither we nor the trustee will be required to:</w:t>
      </w:r>
    </w:p>
    <w:p>
      <w:pPr>
        <w:spacing w:after="0" w:line="87" w:lineRule="exact"/>
        <w:rPr>
          <w:sz w:val="20"/>
          <w:szCs w:val="20"/>
          <w:color w:val="auto"/>
        </w:rPr>
      </w:pPr>
    </w:p>
    <w:p>
      <w:pPr>
        <w:ind w:left="1780" w:right="1499" w:hanging="147"/>
        <w:spacing w:after="0" w:line="256" w:lineRule="auto"/>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junior subordinated debt securities during a period beginning at the opening of business 15 calendar days before the day of selection for redemption of the junior subordinated debt securities and ending at the close of business on the day of mailing of the relevant notice of redemption, or</w:t>
      </w:r>
    </w:p>
    <w:p>
      <w:pPr>
        <w:spacing w:after="0" w:line="58" w:lineRule="exact"/>
        <w:rPr>
          <w:rFonts w:ascii="Times New Roman" w:cs="Times New Roman" w:eastAsia="Times New Roman" w:hAnsi="Times New Roman"/>
          <w:sz w:val="14"/>
          <w:szCs w:val="14"/>
          <w:color w:val="auto"/>
        </w:rPr>
      </w:pPr>
    </w:p>
    <w:p>
      <w:pPr>
        <w:jc w:val="both"/>
        <w:ind w:left="1780" w:right="1419" w:hanging="147"/>
        <w:spacing w:after="0" w:line="276" w:lineRule="auto"/>
        <w:tabs>
          <w:tab w:leader="none" w:pos="1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transfer or exchange any junior subordinated debt securities selected for redemption, except for any portion not redeemed of any junior subordinated debt security that is being redeemed in part.</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7" w:name="page58"/>
    <w:bookmarkEnd w:id="5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Global Junior Subordinated Debt Securities</w:t>
      </w:r>
    </w:p>
    <w:p>
      <w:pPr>
        <w:spacing w:after="0" w:line="120" w:lineRule="exact"/>
        <w:rPr>
          <w:sz w:val="20"/>
          <w:szCs w:val="20"/>
          <w:color w:val="auto"/>
        </w:rPr>
      </w:pPr>
    </w:p>
    <w:p>
      <w:pPr>
        <w:ind w:left="1360" w:right="1479" w:firstLine="276"/>
        <w:spacing w:after="0" w:line="242" w:lineRule="auto"/>
        <w:rPr>
          <w:sz w:val="20"/>
          <w:szCs w:val="20"/>
          <w:color w:val="auto"/>
        </w:rPr>
      </w:pPr>
      <w:r>
        <w:rPr>
          <w:rFonts w:ascii="Times New Roman" w:cs="Times New Roman" w:eastAsia="Times New Roman" w:hAnsi="Times New Roman"/>
          <w:sz w:val="14"/>
          <w:szCs w:val="14"/>
          <w:color w:val="auto"/>
        </w:rPr>
        <w:t>We may issue a series of junior subordinated debt securities in the form of one or more global junior subordinated debt securities. We will identify the depositary holding the global junior subordinated debt securities in the applicable prospectus supplement. We will issue global junior subordinated debt securities only in fully registered form. Unless it is exchanged for an individual junior subordinated debt security, a global junior subordinated debt security may not be transferred except as a whole:</w:t>
      </w:r>
    </w:p>
    <w:p>
      <w:pPr>
        <w:spacing w:after="0" w:line="58" w:lineRule="exact"/>
        <w:rPr>
          <w:sz w:val="20"/>
          <w:szCs w:val="20"/>
          <w:color w:val="auto"/>
        </w:rPr>
      </w:pPr>
    </w:p>
    <w:p>
      <w:pPr>
        <w:ind w:left="1780" w:hanging="147"/>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depositary to its nominee,</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nominee of the depositary to the depositary or another nominee, or</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depositary or any nominee to a successor depositary, or any nominee of the successor.</w:t>
      </w:r>
    </w:p>
    <w:p>
      <w:pPr>
        <w:spacing w:after="0" w:line="108" w:lineRule="exact"/>
        <w:rPr>
          <w:sz w:val="20"/>
          <w:szCs w:val="20"/>
          <w:color w:val="auto"/>
        </w:rPr>
      </w:pPr>
    </w:p>
    <w:p>
      <w:pPr>
        <w:ind w:left="1360" w:right="1439" w:firstLine="276"/>
        <w:spacing w:after="0" w:line="276" w:lineRule="auto"/>
        <w:rPr>
          <w:sz w:val="20"/>
          <w:szCs w:val="20"/>
          <w:color w:val="auto"/>
        </w:rPr>
      </w:pPr>
      <w:r>
        <w:rPr>
          <w:rFonts w:ascii="Times New Roman" w:cs="Times New Roman" w:eastAsia="Times New Roman" w:hAnsi="Times New Roman"/>
          <w:sz w:val="14"/>
          <w:szCs w:val="14"/>
          <w:color w:val="auto"/>
        </w:rPr>
        <w:t>We will describe the specific terms of the depositary arrangement in the applicable prospectus supplement. We expect that the following provisions will generally apply to these depositary arrangements.</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Beneficial Interests in a Global Junior Subordinated Debt Security</w:t>
      </w:r>
    </w:p>
    <w:p>
      <w:pPr>
        <w:spacing w:after="0" w:line="120" w:lineRule="exact"/>
        <w:rPr>
          <w:sz w:val="20"/>
          <w:szCs w:val="20"/>
          <w:color w:val="auto"/>
        </w:rPr>
      </w:pPr>
    </w:p>
    <w:p>
      <w:pPr>
        <w:ind w:left="1360" w:right="1379" w:firstLine="276"/>
        <w:spacing w:after="0" w:line="239" w:lineRule="auto"/>
        <w:rPr>
          <w:sz w:val="20"/>
          <w:szCs w:val="20"/>
          <w:color w:val="auto"/>
        </w:rPr>
      </w:pPr>
      <w:r>
        <w:rPr>
          <w:rFonts w:ascii="Times New Roman" w:cs="Times New Roman" w:eastAsia="Times New Roman" w:hAnsi="Times New Roman"/>
          <w:sz w:val="14"/>
          <w:szCs w:val="14"/>
          <w:color w:val="auto"/>
        </w:rPr>
        <w:t>If we issue a global junior subordinated debt security, the depositary for the global junior subordinated debt security or its nominee will credit on its book- entry registration and transfer system the principal amounts of the individual junior subordinated debt securities represented by the global junior subordinated debt security to the accounts of persons that have accounts with it. We refer to those persons as “participants” in this prospectus. The accounts will be designated by the dealers, underwriters or agents for the junior subordinated debt securities, or by us if the junior subordinated debt securities are offered and sold directly by us. Ownership of beneficial interests in a global junior subordinated debt security will be limited to participants or persons that may hold interests through participants. Ownership and transfers of beneficial interests in the global junior subordinated debt security will be shown on, and effected only through, records maintained by the applicable depositary or its nominee, for interests of participants, and the records of participants, for interests of persons who hold through participants. The laws of some states require that you take physical delivery of securities in definitive form. These limits and laws may impair your ability to transfer beneficial interests in a global junior subordinated debt security.</w:t>
      </w:r>
    </w:p>
    <w:p>
      <w:pPr>
        <w:spacing w:after="0" w:line="90" w:lineRule="exact"/>
        <w:rPr>
          <w:sz w:val="20"/>
          <w:szCs w:val="20"/>
          <w:color w:val="auto"/>
        </w:rPr>
      </w:pPr>
    </w:p>
    <w:p>
      <w:pPr>
        <w:ind w:left="1360" w:right="1499" w:firstLine="276"/>
        <w:spacing w:after="0" w:line="246"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the global junior subordinated debt security, the depositary or the nominee will be considered the sole owner or holder of the junior subordinated debt securities represented by the global junior subordinated debt security for all purposes under the junior subordinated indenture. Except as provided below, you:</w:t>
      </w:r>
    </w:p>
    <w:p>
      <w:pPr>
        <w:spacing w:after="0" w:line="54" w:lineRule="exact"/>
        <w:rPr>
          <w:sz w:val="20"/>
          <w:szCs w:val="20"/>
          <w:color w:val="auto"/>
        </w:rPr>
      </w:pPr>
    </w:p>
    <w:p>
      <w:pPr>
        <w:ind w:left="1780" w:right="1539" w:hanging="147"/>
        <w:spacing w:after="0" w:line="276"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entitled to have any of the individual junior subordinated debt securities represented by the global junior subordinated debt security registered in your name,</w:t>
      </w:r>
    </w:p>
    <w:p>
      <w:pPr>
        <w:spacing w:after="0" w:line="43" w:lineRule="exact"/>
        <w:rPr>
          <w:rFonts w:ascii="Times New Roman" w:cs="Times New Roman" w:eastAsia="Times New Roman" w:hAnsi="Times New Roman"/>
          <w:sz w:val="14"/>
          <w:szCs w:val="14"/>
          <w:color w:val="auto"/>
        </w:rPr>
      </w:pPr>
    </w:p>
    <w:p>
      <w:pPr>
        <w:ind w:left="1780" w:right="1459" w:hanging="147"/>
        <w:spacing w:after="0" w:line="276"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receive or be entitled to receive physical delivery of any junior subordinated debt securities in definitive form, and</w:t>
      </w:r>
    </w:p>
    <w:p>
      <w:pPr>
        <w:spacing w:after="0" w:line="33" w:lineRule="exact"/>
        <w:rPr>
          <w:rFonts w:ascii="Times New Roman" w:cs="Times New Roman" w:eastAsia="Times New Roman" w:hAnsi="Times New Roman"/>
          <w:sz w:val="14"/>
          <w:szCs w:val="14"/>
          <w:color w:val="auto"/>
        </w:rPr>
      </w:pPr>
    </w:p>
    <w:p>
      <w:pPr>
        <w:ind w:left="1780" w:right="1519" w:hanging="147"/>
        <w:spacing w:after="0" w:line="276" w:lineRule="auto"/>
        <w:tabs>
          <w:tab w:leader="none" w:pos="17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considered the owner or holder of the junior subordinated debt security under the junior subordinated indenture.</w:t>
      </w:r>
    </w:p>
    <w:p>
      <w:pPr>
        <w:spacing w:after="0" w:line="1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Payments of Principal, Premium and Interest</w:t>
      </w:r>
    </w:p>
    <w:p>
      <w:pPr>
        <w:spacing w:after="0" w:line="120" w:lineRule="exact"/>
        <w:rPr>
          <w:sz w:val="20"/>
          <w:szCs w:val="20"/>
          <w:color w:val="auto"/>
        </w:rPr>
      </w:pPr>
    </w:p>
    <w:p>
      <w:pPr>
        <w:ind w:left="1360" w:right="1379" w:firstLine="276"/>
        <w:spacing w:after="0" w:line="243" w:lineRule="auto"/>
        <w:rPr>
          <w:sz w:val="20"/>
          <w:szCs w:val="20"/>
          <w:color w:val="auto"/>
        </w:rPr>
      </w:pPr>
      <w:r>
        <w:rPr>
          <w:rFonts w:ascii="Times New Roman" w:cs="Times New Roman" w:eastAsia="Times New Roman" w:hAnsi="Times New Roman"/>
          <w:sz w:val="14"/>
          <w:szCs w:val="14"/>
          <w:color w:val="auto"/>
        </w:rPr>
        <w:t>We will make principal, premium and interest payments on global junior subordinated debt securities to the depositary that is the registered holder of the global junior subordinated debt security or its nominee. The depositary for the junior subordinated debt securities will be solely responsible and liable for all payments made on account of your beneficial ownership interests in the global junior subordinated debt security and for maintaining, supervising and reviewing any records relating to your beneficial ownership interests.</w:t>
      </w:r>
    </w:p>
    <w:p>
      <w:pPr>
        <w:spacing w:after="0" w:line="251" w:lineRule="exact"/>
        <w:rPr>
          <w:sz w:val="20"/>
          <w:szCs w:val="20"/>
          <w:color w:val="auto"/>
        </w:rPr>
      </w:pPr>
    </w:p>
    <w:p>
      <w:pPr>
        <w:ind w:left="1360" w:right="1479" w:firstLine="276"/>
        <w:spacing w:after="0" w:line="242" w:lineRule="auto"/>
        <w:rPr>
          <w:sz w:val="20"/>
          <w:szCs w:val="20"/>
          <w:color w:val="auto"/>
        </w:rPr>
      </w:pPr>
      <w:r>
        <w:rPr>
          <w:rFonts w:ascii="Times New Roman" w:cs="Times New Roman" w:eastAsia="Times New Roman" w:hAnsi="Times New Roman"/>
          <w:sz w:val="14"/>
          <w:szCs w:val="14"/>
          <w:color w:val="auto"/>
        </w:rPr>
        <w:t>We expect that the depositary or its nominee, upon receipt of principal, premium or interest payments, immediately will credit participants’ accounts with amounts in proportion to their respective beneficial interests in the principal amount of the global junior subordinated debt security as shown on the records of the depositary or its nominee. We also expect that payments by participants to you, as an owner of a beneficial interest in the global junior subordinated debt security held through those participants, will be</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8" w:name="page59"/>
    <w:bookmarkEnd w:id="5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579"/>
        <w:spacing w:after="0" w:line="261" w:lineRule="auto"/>
        <w:rPr>
          <w:sz w:val="20"/>
          <w:szCs w:val="20"/>
          <w:color w:val="auto"/>
        </w:rPr>
      </w:pPr>
      <w:r>
        <w:rPr>
          <w:rFonts w:ascii="Times New Roman" w:cs="Times New Roman" w:eastAsia="Times New Roman" w:hAnsi="Times New Roman"/>
          <w:sz w:val="14"/>
          <w:szCs w:val="14"/>
          <w:color w:val="auto"/>
        </w:rPr>
        <w:t>governed by standing instructions and customary practices, as is now the case with securities held for the accounts of customers in bearer form or registered in “street name.” These payments will be the responsibility of those participants.</w:t>
      </w:r>
    </w:p>
    <w:p>
      <w:pPr>
        <w:spacing w:after="0" w:line="13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Issuance of Individual Junior Subordinated Debt Securities</w:t>
      </w:r>
    </w:p>
    <w:p>
      <w:pPr>
        <w:spacing w:after="0" w:line="120" w:lineRule="exact"/>
        <w:rPr>
          <w:sz w:val="20"/>
          <w:szCs w:val="20"/>
          <w:color w:val="auto"/>
        </w:rPr>
      </w:pPr>
    </w:p>
    <w:p>
      <w:pPr>
        <w:ind w:left="1360" w:right="1399" w:firstLine="276"/>
        <w:spacing w:after="0" w:line="251"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if a depositary for a series of junior subordinated debt securities is at any time unwilling, unable or ineligible to continue as depositary, we will appoint a successor depositary or we will issue individual junior subordinated debt securities in exchange for the global junior subordinated debt security. In addition, we may at any time and in our sole discretion, subject to the procedures of the depositary and to any limitations described in the prospectus supplement relating to the junior subordinated debt securities, determine not to have any junior subordinated debt securities represented by one or more global junior subordinated debt securities. If that occurs, we will issue individual junior subordinated debt securities in exchange for the global junior subordinated debt security.</w:t>
      </w:r>
    </w:p>
    <w:p>
      <w:pPr>
        <w:spacing w:after="0" w:line="92" w:lineRule="exact"/>
        <w:rPr>
          <w:sz w:val="20"/>
          <w:szCs w:val="20"/>
          <w:color w:val="auto"/>
        </w:rPr>
      </w:pPr>
    </w:p>
    <w:p>
      <w:pPr>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Further, we may specify that you may, on terms acceptable to us, the trustee and the depositary for the global junior subordinated debt security, receive individual junior subordinated debt securities in exchange for your beneficial interest in a global junior subordinated debt security, subject to any limitations described in the prospectus supplement relating to the junior subordinated debt securities. In that instance, you will be entitled to physical delivery of individual junior subordinated debt securities equal in principal amount to that beneficial interest and to have the junior subordinated debt securities registered in your name. Unless we otherwise specify, those individual junior subordinated debt securities will be issued in denominations of $1,000 and integral multiples of $1,000.</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10" w:lineRule="exact"/>
        <w:rPr>
          <w:sz w:val="20"/>
          <w:szCs w:val="20"/>
          <w:color w:val="auto"/>
        </w:rPr>
      </w:pPr>
    </w:p>
    <w:p>
      <w:pPr>
        <w:jc w:val="both"/>
        <w:ind w:left="1360" w:right="1439" w:firstLine="276"/>
        <w:spacing w:after="0" w:line="261"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we will pay principal of, premium, if any, and interest on your junior subordinated debt securities at the office of the trustee in the City of New York or at the office of any paying agent that we may designate.</w:t>
      </w:r>
    </w:p>
    <w:p>
      <w:pPr>
        <w:spacing w:after="0" w:line="85" w:lineRule="exact"/>
        <w:rPr>
          <w:sz w:val="20"/>
          <w:szCs w:val="20"/>
          <w:color w:val="auto"/>
        </w:rPr>
      </w:pPr>
    </w:p>
    <w:p>
      <w:pPr>
        <w:ind w:left="1360" w:right="1439" w:firstLine="276"/>
        <w:spacing w:after="0" w:line="254"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we will pay any interest on junior subordinated debt securities to the registered owner of the junior subordinated debt security at the close of business on the regular record date for the interest, except in the case of defaulted interest. We may at any time designate additional paying agents or rescind the designation of any paying agent. We must maintain a paying agent in each place of payment for the junior subordinated debt securities.</w:t>
      </w:r>
    </w:p>
    <w:p>
      <w:pPr>
        <w:spacing w:after="0" w:line="90" w:lineRule="exact"/>
        <w:rPr>
          <w:sz w:val="20"/>
          <w:szCs w:val="20"/>
          <w:color w:val="auto"/>
        </w:rPr>
      </w:pPr>
    </w:p>
    <w:p>
      <w:pPr>
        <w:ind w:left="1360" w:right="1399" w:firstLine="276"/>
        <w:spacing w:after="0" w:line="255" w:lineRule="auto"/>
        <w:rPr>
          <w:sz w:val="20"/>
          <w:szCs w:val="20"/>
          <w:color w:val="auto"/>
        </w:rPr>
      </w:pPr>
      <w:r>
        <w:rPr>
          <w:rFonts w:ascii="Times New Roman" w:cs="Times New Roman" w:eastAsia="Times New Roman" w:hAnsi="Times New Roman"/>
          <w:sz w:val="14"/>
          <w:szCs w:val="14"/>
          <w:color w:val="auto"/>
        </w:rPr>
        <w:t>Any moneys deposited with the trustee or any paying agent, or then held by us in trust, for the payment of the principal of, premium, if any, and interest on any junior subordinated debt security that remain unclaimed for two years after the principal, premium or interest has become due and payable will, at our request, be repaid to us. After repayment to us, you are entitled to seek payment only from us as a general unsecured creditor.</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10" w:lineRule="exact"/>
        <w:rPr>
          <w:sz w:val="20"/>
          <w:szCs w:val="20"/>
          <w:color w:val="auto"/>
        </w:rPr>
      </w:pPr>
    </w:p>
    <w:p>
      <w:pPr>
        <w:ind w:left="1360" w:right="1459" w:firstLine="276"/>
        <w:spacing w:after="0" w:line="276"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junior subordinated debt securities will not be subject to any sinking fund.</w:t>
      </w:r>
    </w:p>
    <w:p>
      <w:pPr>
        <w:spacing w:after="0" w:line="75" w:lineRule="exact"/>
        <w:rPr>
          <w:sz w:val="20"/>
          <w:szCs w:val="20"/>
          <w:color w:val="auto"/>
        </w:rPr>
      </w:pPr>
    </w:p>
    <w:p>
      <w:pPr>
        <w:ind w:left="1360" w:right="1459" w:firstLine="276"/>
        <w:spacing w:after="0" w:line="256"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we may, at our option, redeem any series of junior subordinated debt securities after its issuance date in whole or in part at any time and from time to time. We may redeem junior subordinated debt securities in denominations larger than $1,000 but only in integral multiples of $1,000.</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Redemption Price</w:t>
      </w:r>
    </w:p>
    <w:p>
      <w:pPr>
        <w:spacing w:after="0" w:line="120" w:lineRule="exact"/>
        <w:rPr>
          <w:sz w:val="20"/>
          <w:szCs w:val="20"/>
          <w:color w:val="auto"/>
        </w:rPr>
      </w:pPr>
    </w:p>
    <w:p>
      <w:pPr>
        <w:ind w:left="1360" w:right="1379" w:firstLine="276"/>
        <w:spacing w:after="0" w:line="256"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redemption price for any junior subordinated debt security redeemed shall be equal to 100% of the principal amount plus any accrued and unpaid interest as of the redemption date, provided however, that installments of accrued and unpaid interest whose stated maturity is on or prior to the redemption date will be payable to the holders of such securities,</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9" w:name="page60"/>
    <w:bookmarkEnd w:id="59"/>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679"/>
        <w:spacing w:after="0" w:line="276" w:lineRule="auto"/>
        <w:rPr>
          <w:sz w:val="20"/>
          <w:szCs w:val="20"/>
          <w:color w:val="auto"/>
        </w:rPr>
      </w:pPr>
      <w:r>
        <w:rPr>
          <w:rFonts w:ascii="Times New Roman" w:cs="Times New Roman" w:eastAsia="Times New Roman" w:hAnsi="Times New Roman"/>
          <w:sz w:val="14"/>
          <w:szCs w:val="14"/>
          <w:color w:val="auto"/>
        </w:rPr>
        <w:t>or one or more predecessor securities, registered as such at the close of business on the relevant regular record dates, unless otherwise so specified.</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Notice of Redemption</w:t>
      </w:r>
    </w:p>
    <w:p>
      <w:pPr>
        <w:spacing w:after="0" w:line="120" w:lineRule="exact"/>
        <w:rPr>
          <w:sz w:val="20"/>
          <w:szCs w:val="20"/>
          <w:color w:val="auto"/>
        </w:rPr>
      </w:pPr>
    </w:p>
    <w:p>
      <w:pPr>
        <w:ind w:left="1360" w:right="1399" w:firstLine="276"/>
        <w:spacing w:after="0" w:line="242"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we will mail notice of any redemption of your junior subordinated debt securities at least 30 days but not more than 60 days before the redemption date to you at your registered address. Unless we default in payment of the redemption price, on and after the redemption date interest will cease to accrue on the junior subordinated debt securities or the portions called for redemption.</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Consolidation, Merger, Sale of Assets and Other Transactions</w:t>
      </w:r>
    </w:p>
    <w:p>
      <w:pPr>
        <w:spacing w:after="0" w:line="120" w:lineRule="exact"/>
        <w:rPr>
          <w:sz w:val="20"/>
          <w:szCs w:val="20"/>
          <w:color w:val="auto"/>
        </w:rPr>
      </w:pPr>
    </w:p>
    <w:p>
      <w:pPr>
        <w:jc w:val="both"/>
        <w:ind w:left="1360" w:right="1459" w:firstLine="276"/>
        <w:spacing w:after="0" w:line="254" w:lineRule="auto"/>
        <w:rPr>
          <w:sz w:val="20"/>
          <w:szCs w:val="20"/>
          <w:color w:val="auto"/>
        </w:rPr>
      </w:pPr>
      <w:r>
        <w:rPr>
          <w:rFonts w:ascii="Times New Roman" w:cs="Times New Roman" w:eastAsia="Times New Roman" w:hAnsi="Times New Roman"/>
          <w:sz w:val="14"/>
          <w:szCs w:val="14"/>
          <w:color w:val="auto"/>
        </w:rPr>
        <w:t>We will not consolidate with or merge into any other person or convey, transfer or lease our properties and assets substantially as an entirety to any person, and no person will consolidate with or merge into us, unless the Company is the surviving person or:</w:t>
      </w:r>
    </w:p>
    <w:p>
      <w:pPr>
        <w:spacing w:after="0" w:line="48" w:lineRule="exact"/>
        <w:rPr>
          <w:sz w:val="20"/>
          <w:szCs w:val="20"/>
          <w:color w:val="auto"/>
        </w:rPr>
      </w:pPr>
    </w:p>
    <w:p>
      <w:pPr>
        <w:ind w:left="1780" w:right="1479" w:hanging="147"/>
        <w:spacing w:after="0" w:line="254" w:lineRule="auto"/>
        <w:tabs>
          <w:tab w:leader="none" w:pos="1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consolidate with or merge into another person or convey or transfer our properties and assets substantially as an entirety to any person, the successor person shall be a corporation, partnership, trust or limited liability company organized and validly existing under the laws of the United States or any state or the District of Columbia, and the successor corporation expressly assumes our obligations relating to the junior subordinated debt securities,</w:t>
      </w:r>
    </w:p>
    <w:p>
      <w:pPr>
        <w:spacing w:after="0" w:line="58" w:lineRule="exact"/>
        <w:rPr>
          <w:rFonts w:ascii="Times New Roman" w:cs="Times New Roman" w:eastAsia="Times New Roman" w:hAnsi="Times New Roman"/>
          <w:sz w:val="14"/>
          <w:szCs w:val="14"/>
          <w:color w:val="auto"/>
        </w:rPr>
      </w:pPr>
    </w:p>
    <w:p>
      <w:pPr>
        <w:ind w:left="1780" w:right="1419" w:hanging="147"/>
        <w:spacing w:after="0" w:line="261" w:lineRule="auto"/>
        <w:tabs>
          <w:tab w:leader="none" w:pos="1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consolidation, merger, conveyance or transfer, there exists no event of default, and no event which, after notice or lapse of time or both, would become an event of default, and</w:t>
      </w:r>
    </w:p>
    <w:p>
      <w:pPr>
        <w:spacing w:after="0" w:line="5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conditions described in the junior subordinated indenture are met.</w:t>
      </w:r>
    </w:p>
    <w:p>
      <w:pPr>
        <w:spacing w:after="0" w:line="108" w:lineRule="exact"/>
        <w:rPr>
          <w:sz w:val="20"/>
          <w:szCs w:val="20"/>
          <w:color w:val="auto"/>
        </w:rPr>
      </w:pPr>
    </w:p>
    <w:p>
      <w:pPr>
        <w:ind w:left="1360" w:right="1639" w:firstLine="276"/>
        <w:spacing w:after="0" w:line="276" w:lineRule="auto"/>
        <w:rPr>
          <w:sz w:val="20"/>
          <w:szCs w:val="20"/>
          <w:color w:val="auto"/>
        </w:rPr>
      </w:pPr>
      <w:r>
        <w:rPr>
          <w:rFonts w:ascii="Times New Roman" w:cs="Times New Roman" w:eastAsia="Times New Roman" w:hAnsi="Times New Roman"/>
          <w:sz w:val="14"/>
          <w:szCs w:val="14"/>
          <w:color w:val="auto"/>
        </w:rPr>
        <w:t>The general provisions of the junior subordinated indenture do not protect you against transactions, such as a highly leveraged transaction, that may adversely affect you.</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Option to Defer Payment of Interest</w:t>
      </w:r>
    </w:p>
    <w:p>
      <w:pPr>
        <w:spacing w:after="0" w:line="120" w:lineRule="exact"/>
        <w:rPr>
          <w:sz w:val="20"/>
          <w:szCs w:val="20"/>
          <w:color w:val="auto"/>
        </w:rPr>
      </w:pPr>
    </w:p>
    <w:p>
      <w:pPr>
        <w:ind w:left="1360" w:right="1459" w:firstLine="276"/>
        <w:spacing w:after="0" w:line="251" w:lineRule="auto"/>
        <w:rPr>
          <w:sz w:val="20"/>
          <w:szCs w:val="20"/>
          <w:color w:val="auto"/>
        </w:rPr>
      </w:pPr>
      <w:r>
        <w:rPr>
          <w:rFonts w:ascii="Times New Roman" w:cs="Times New Roman" w:eastAsia="Times New Roman" w:hAnsi="Times New Roman"/>
          <w:sz w:val="14"/>
          <w:szCs w:val="14"/>
          <w:color w:val="auto"/>
        </w:rPr>
        <w:t>If provided in the applicable prospectus supplement, so long as no event of default with respect to the junior subordinated debt securities of such series has occurred and is continuing, we will have the right during the term of any series of junior subordinated debt securities to defer payment of interest otherwise due and payable on the junior subordinated debt securities for a period, subject to the terms, conditions and covenants specified in the prospectus supplement. However, we may not defer payment of interest beyond the final maturity of such series of junior subordinated debt securities. We will describe the United States federal income tax consequences and special considerations relating to any junior subordinated debt securities in the applicable prospectus supplement.</w:t>
      </w:r>
    </w:p>
    <w:p>
      <w:pPr>
        <w:spacing w:after="0" w:line="92" w:lineRule="exact"/>
        <w:rPr>
          <w:sz w:val="20"/>
          <w:szCs w:val="20"/>
          <w:color w:val="auto"/>
        </w:rPr>
      </w:pPr>
    </w:p>
    <w:p>
      <w:pPr>
        <w:ind w:left="1360" w:right="1939" w:firstLine="276"/>
        <w:spacing w:after="0" w:line="276" w:lineRule="auto"/>
        <w:rPr>
          <w:sz w:val="20"/>
          <w:szCs w:val="20"/>
          <w:color w:val="auto"/>
        </w:rPr>
      </w:pPr>
      <w:r>
        <w:rPr>
          <w:rFonts w:ascii="Times New Roman" w:cs="Times New Roman" w:eastAsia="Times New Roman" w:hAnsi="Times New Roman"/>
          <w:sz w:val="14"/>
          <w:szCs w:val="14"/>
          <w:color w:val="auto"/>
        </w:rPr>
        <w:t>If we exercise this right, during the deferral period we and our subsidiaries may not, except as otherwise stated in the applicable prospectus supplement:</w:t>
      </w:r>
    </w:p>
    <w:p>
      <w:pPr>
        <w:spacing w:after="0" w:line="44" w:lineRule="exact"/>
        <w:rPr>
          <w:sz w:val="20"/>
          <w:szCs w:val="20"/>
          <w:color w:val="auto"/>
        </w:rPr>
      </w:pPr>
    </w:p>
    <w:p>
      <w:pPr>
        <w:ind w:left="1780" w:right="1799" w:hanging="147"/>
        <w:spacing w:after="0" w:line="276"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or pay any dividends or other distributions on, or redeem, purchase, acquire or make a liquidation payment with respect to, any shares of our capital stock, or</w:t>
      </w:r>
    </w:p>
    <w:p>
      <w:pPr>
        <w:spacing w:after="0" w:line="43" w:lineRule="exact"/>
        <w:rPr>
          <w:rFonts w:ascii="Times New Roman" w:cs="Times New Roman" w:eastAsia="Times New Roman" w:hAnsi="Times New Roman"/>
          <w:sz w:val="14"/>
          <w:szCs w:val="14"/>
          <w:color w:val="auto"/>
        </w:rPr>
      </w:pPr>
    </w:p>
    <w:p>
      <w:pPr>
        <w:ind w:left="1780" w:right="1419" w:hanging="147"/>
        <w:spacing w:after="0" w:line="256" w:lineRule="auto"/>
        <w:tabs>
          <w:tab w:leader="none" w:pos="1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payment of principal of, or interest or premium, if any, on, or repay, purchase or redeem any of our debt securities or make any guarantee payments pursuant to any guarantee issued by us of any debt securities of any of our subsidiaries that in each case rank equally with the junior subordinated debt securities or junior to the junior subordinated debt securities.</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7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Modification</w:t>
      </w:r>
    </w:p>
    <w:p>
      <w:pPr>
        <w:spacing w:after="0" w:line="110" w:lineRule="exact"/>
        <w:rPr>
          <w:sz w:val="20"/>
          <w:szCs w:val="20"/>
          <w:color w:val="auto"/>
        </w:rPr>
      </w:pPr>
    </w:p>
    <w:p>
      <w:pPr>
        <w:ind w:left="1360" w:right="1479" w:firstLine="276"/>
        <w:spacing w:after="0" w:line="276" w:lineRule="auto"/>
        <w:rPr>
          <w:sz w:val="20"/>
          <w:szCs w:val="20"/>
          <w:color w:val="auto"/>
        </w:rPr>
      </w:pPr>
      <w:r>
        <w:rPr>
          <w:rFonts w:ascii="Times New Roman" w:cs="Times New Roman" w:eastAsia="Times New Roman" w:hAnsi="Times New Roman"/>
          <w:sz w:val="14"/>
          <w:szCs w:val="14"/>
          <w:color w:val="auto"/>
        </w:rPr>
        <w:t>We, the trustee and, if applicable, the Subsidiary Guarantor may, without the consent of the holders of junior subordinated debt securities, amend, waive or supplement the junior subordinated indenture for</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0" w:name="page61"/>
    <w:bookmarkEnd w:id="6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39"/>
        <w:spacing w:after="0" w:line="246" w:lineRule="auto"/>
        <w:rPr>
          <w:sz w:val="20"/>
          <w:szCs w:val="20"/>
          <w:color w:val="auto"/>
        </w:rPr>
      </w:pPr>
      <w:r>
        <w:rPr>
          <w:rFonts w:ascii="Times New Roman" w:cs="Times New Roman" w:eastAsia="Times New Roman" w:hAnsi="Times New Roman"/>
          <w:sz w:val="14"/>
          <w:szCs w:val="14"/>
          <w:color w:val="auto"/>
        </w:rPr>
        <w:t>specified purposes, including, among other things, curing ambiguities, defects or inconsistencies. However, no action may adversely affect in any material respect the interests of holders of any series of junior subordinated debt securities. We may also amend the junior subordinated indenture to maintain the qualification of the junior subordinated indenture under the Trust Indenture Act.</w:t>
      </w:r>
    </w:p>
    <w:p>
      <w:pPr>
        <w:spacing w:after="0" w:line="85" w:lineRule="exact"/>
        <w:rPr>
          <w:sz w:val="20"/>
          <w:szCs w:val="20"/>
          <w:color w:val="auto"/>
        </w:rPr>
      </w:pPr>
    </w:p>
    <w:p>
      <w:pPr>
        <w:ind w:left="1360" w:right="1439" w:firstLine="276"/>
        <w:spacing w:after="0" w:line="246" w:lineRule="auto"/>
        <w:rPr>
          <w:sz w:val="20"/>
          <w:szCs w:val="20"/>
          <w:color w:val="auto"/>
        </w:rPr>
      </w:pPr>
      <w:r>
        <w:rPr>
          <w:rFonts w:ascii="Times New Roman" w:cs="Times New Roman" w:eastAsia="Times New Roman" w:hAnsi="Times New Roman"/>
          <w:sz w:val="14"/>
          <w:szCs w:val="14"/>
          <w:color w:val="auto"/>
        </w:rPr>
        <w:t>We, the trustee and, if applicable, the Subsidiary Guarantor may, with the consent of the holders of not less than a majority in principal amount of the series of junior subordinated debt securities affected, modify the junior subordinated indenture in a manner affecting the rights of the holders of junior subordinated debt securities. However, no modification may, without the consent of the holder of each outstanding junior subordinated debt security affected:</w:t>
      </w:r>
    </w:p>
    <w:p>
      <w:pPr>
        <w:spacing w:after="0" w:line="55" w:lineRule="exact"/>
        <w:rPr>
          <w:sz w:val="20"/>
          <w:szCs w:val="20"/>
          <w:color w:val="auto"/>
        </w:rPr>
      </w:pPr>
    </w:p>
    <w:p>
      <w:pPr>
        <w:ind w:left="1780" w:hanging="147"/>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junior subordinated debt securities,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the junior subordinated debt securities,</w:t>
      </w:r>
    </w:p>
    <w:p>
      <w:pPr>
        <w:spacing w:after="0" w:line="87" w:lineRule="exact"/>
        <w:rPr>
          <w:rFonts w:ascii="Times New Roman" w:cs="Times New Roman" w:eastAsia="Times New Roman" w:hAnsi="Times New Roman"/>
          <w:sz w:val="14"/>
          <w:szCs w:val="14"/>
          <w:color w:val="auto"/>
        </w:rPr>
      </w:pPr>
    </w:p>
    <w:p>
      <w:pPr>
        <w:jc w:val="both"/>
        <w:ind w:left="1780" w:right="1659" w:hanging="147"/>
        <w:spacing w:after="0" w:line="261"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or, except as permitted by the junior subordinated indenture and the terms of the series of junior subordinated debt securities, extend the time of payment of interest on the junior subordinated debt securities.</w:t>
      </w:r>
    </w:p>
    <w:p>
      <w:pPr>
        <w:spacing w:after="0" w:line="44" w:lineRule="exact"/>
        <w:rPr>
          <w:rFonts w:ascii="Times New Roman" w:cs="Times New Roman" w:eastAsia="Times New Roman" w:hAnsi="Times New Roman"/>
          <w:sz w:val="14"/>
          <w:szCs w:val="14"/>
          <w:color w:val="auto"/>
        </w:rPr>
      </w:pPr>
    </w:p>
    <w:p>
      <w:pPr>
        <w:ind w:left="1780" w:right="1639" w:hanging="147"/>
        <w:spacing w:after="0" w:line="261"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subordination provisions of the junior subordinated indenture with respect to the subordination of a series of junior subordinated debt securities or the subsidiary guarantee in any manner materially adverse to the holders of such series, or</w:t>
      </w:r>
    </w:p>
    <w:p>
      <w:pPr>
        <w:spacing w:after="0" w:line="54" w:lineRule="exact"/>
        <w:rPr>
          <w:rFonts w:ascii="Times New Roman" w:cs="Times New Roman" w:eastAsia="Times New Roman" w:hAnsi="Times New Roman"/>
          <w:sz w:val="14"/>
          <w:szCs w:val="14"/>
          <w:color w:val="auto"/>
        </w:rPr>
      </w:pPr>
    </w:p>
    <w:p>
      <w:pPr>
        <w:ind w:left="1780" w:right="1539" w:hanging="147"/>
        <w:spacing w:after="0" w:line="276" w:lineRule="auto"/>
        <w:tabs>
          <w:tab w:leader="none" w:pos="17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principal amount of the junior subordinated debt securities, the holders of which are required to consent to the modification of the junior subordinated indenture.</w:t>
      </w:r>
    </w:p>
    <w:p>
      <w:pPr>
        <w:spacing w:after="0" w:line="75" w:lineRule="exact"/>
        <w:rPr>
          <w:sz w:val="20"/>
          <w:szCs w:val="20"/>
          <w:color w:val="auto"/>
        </w:rPr>
      </w:pPr>
    </w:p>
    <w:p>
      <w:pPr>
        <w:ind w:left="1360" w:right="1479" w:firstLine="276"/>
        <w:spacing w:after="0" w:line="254" w:lineRule="auto"/>
        <w:rPr>
          <w:sz w:val="20"/>
          <w:szCs w:val="20"/>
          <w:color w:val="auto"/>
        </w:rPr>
      </w:pPr>
      <w:r>
        <w:rPr>
          <w:rFonts w:ascii="Times New Roman" w:cs="Times New Roman" w:eastAsia="Times New Roman" w:hAnsi="Times New Roman"/>
          <w:sz w:val="14"/>
          <w:szCs w:val="14"/>
          <w:color w:val="auto"/>
        </w:rPr>
        <w:t>In addition, we, the trustee and, if applicable, the Subsidiary Guarantor may execute, without your consent, any supplemental indenture for the purpose of creating any new series of junior subordinated debt securities.</w:t>
      </w:r>
    </w:p>
    <w:p>
      <w:pPr>
        <w:spacing w:after="0" w:line="12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Waiver</w:t>
      </w:r>
    </w:p>
    <w:p>
      <w:pPr>
        <w:spacing w:after="0" w:line="120" w:lineRule="exact"/>
        <w:rPr>
          <w:sz w:val="20"/>
          <w:szCs w:val="20"/>
          <w:color w:val="auto"/>
        </w:rPr>
      </w:pPr>
    </w:p>
    <w:p>
      <w:pPr>
        <w:ind w:left="1360" w:right="1379" w:firstLine="276"/>
        <w:spacing w:after="0" w:line="261" w:lineRule="auto"/>
        <w:rPr>
          <w:sz w:val="20"/>
          <w:szCs w:val="20"/>
          <w:color w:val="auto"/>
        </w:rPr>
      </w:pPr>
      <w:r>
        <w:rPr>
          <w:rFonts w:ascii="Times New Roman" w:cs="Times New Roman" w:eastAsia="Times New Roman" w:hAnsi="Times New Roman"/>
          <w:sz w:val="14"/>
          <w:szCs w:val="14"/>
          <w:color w:val="auto"/>
        </w:rPr>
        <w:t>The holders of a majority in aggregate outstanding principal amount of the series of junior subordinated debt securities may rescind and annul the declaration of an event of default and its consequences if:</w:t>
      </w:r>
    </w:p>
    <w:p>
      <w:pPr>
        <w:spacing w:after="0" w:line="43" w:lineRule="exact"/>
        <w:rPr>
          <w:sz w:val="20"/>
          <w:szCs w:val="20"/>
          <w:color w:val="auto"/>
        </w:rPr>
      </w:pPr>
    </w:p>
    <w:p>
      <w:pPr>
        <w:ind w:left="1780" w:right="1379" w:hanging="147"/>
        <w:spacing w:after="0" w:line="261" w:lineRule="auto"/>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event of default is other than our non-payment of the principal of the junior subordinated debt securities which has become due solely by such acceleration and all other events of default have been cured or waived, and</w:t>
      </w:r>
    </w:p>
    <w:p>
      <w:pPr>
        <w:spacing w:after="0" w:line="5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deposited with the trustee a sum sufficient to pay:</w:t>
      </w:r>
    </w:p>
    <w:p>
      <w:pPr>
        <w:spacing w:after="0" w:line="87" w:lineRule="exact"/>
        <w:rPr>
          <w:rFonts w:ascii="Times New Roman" w:cs="Times New Roman" w:eastAsia="Times New Roman" w:hAnsi="Times New Roman"/>
          <w:sz w:val="14"/>
          <w:szCs w:val="14"/>
          <w:color w:val="auto"/>
        </w:rPr>
      </w:pPr>
    </w:p>
    <w:p>
      <w:pPr>
        <w:ind w:left="1780" w:right="1819" w:hanging="147"/>
        <w:spacing w:after="0" w:line="276" w:lineRule="auto"/>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overdue installments of interest (including interest on overdue installments of interest) and principal (and premium, if any) due other than by acceleration, and</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amounts owing to the trustee, its agents and counsel.</w:t>
      </w:r>
    </w:p>
    <w:p>
      <w:pPr>
        <w:spacing w:after="0" w:line="108" w:lineRule="exact"/>
        <w:rPr>
          <w:sz w:val="20"/>
          <w:szCs w:val="20"/>
          <w:color w:val="auto"/>
        </w:rPr>
      </w:pPr>
    </w:p>
    <w:p>
      <w:pPr>
        <w:ind w:left="1360" w:right="1459" w:firstLine="276"/>
        <w:spacing w:after="0" w:line="244" w:lineRule="auto"/>
        <w:rPr>
          <w:sz w:val="20"/>
          <w:szCs w:val="20"/>
          <w:color w:val="auto"/>
        </w:rPr>
      </w:pPr>
      <w:r>
        <w:rPr>
          <w:rFonts w:ascii="Times New Roman" w:cs="Times New Roman" w:eastAsia="Times New Roman" w:hAnsi="Times New Roman"/>
          <w:sz w:val="14"/>
          <w:szCs w:val="14"/>
          <w:color w:val="auto"/>
        </w:rPr>
        <w:t>The holders of a majority in aggregate outstanding principal amount of the junior subordinated debt securities affected by the default may, on behalf of the holders of all the junior subordinated debt securities of such series, waive any past default with respect to such series and its consequences, except a default</w:t>
      </w:r>
    </w:p>
    <w:p>
      <w:pPr>
        <w:spacing w:after="0" w:line="1" w:lineRule="exact"/>
        <w:rPr>
          <w:sz w:val="20"/>
          <w:szCs w:val="20"/>
          <w:color w:val="auto"/>
        </w:rPr>
      </w:pPr>
    </w:p>
    <w:p>
      <w:pPr>
        <w:ind w:left="1360" w:right="1719" w:hanging="2"/>
        <w:spacing w:after="0" w:line="238" w:lineRule="auto"/>
        <w:tabs>
          <w:tab w:leader="none" w:pos="156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payment of the principal of, or premium, if any, or interest on, any junior subordinated debt security of such series or (</w:t>
      </w:r>
      <w:r>
        <w:rPr>
          <w:rFonts w:ascii="Times New Roman" w:cs="Times New Roman" w:eastAsia="Times New Roman" w:hAnsi="Times New Roman"/>
          <w:sz w:val="14"/>
          <w:szCs w:val="14"/>
          <w:i w:val="1"/>
          <w:iCs w:val="1"/>
          <w:color w:val="auto"/>
        </w:rPr>
        <w:t>2</w:t>
      </w:r>
      <w:r>
        <w:rPr>
          <w:rFonts w:ascii="Times New Roman" w:cs="Times New Roman" w:eastAsia="Times New Roman" w:hAnsi="Times New Roman"/>
          <w:sz w:val="14"/>
          <w:szCs w:val="14"/>
          <w:color w:val="auto"/>
        </w:rPr>
        <w:t>) in respect of a covenant or provision which under the junior subordinated indenture cannot be modified or amended without the consent of the holder of each outstanding junior subordinated debt security affected.</w:t>
      </w:r>
    </w:p>
    <w:p>
      <w:pPr>
        <w:spacing w:after="0" w:line="1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10" w:lineRule="exact"/>
        <w:rPr>
          <w:sz w:val="20"/>
          <w:szCs w:val="20"/>
          <w:color w:val="auto"/>
        </w:rPr>
      </w:pPr>
    </w:p>
    <w:p>
      <w:pPr>
        <w:ind w:left="1360" w:right="1399" w:firstLine="276"/>
        <w:spacing w:after="0" w:line="276" w:lineRule="auto"/>
        <w:rPr>
          <w:sz w:val="20"/>
          <w:szCs w:val="20"/>
          <w:color w:val="auto"/>
        </w:rPr>
      </w:pPr>
      <w:r>
        <w:rPr>
          <w:rFonts w:ascii="Times New Roman" w:cs="Times New Roman" w:eastAsia="Times New Roman" w:hAnsi="Times New Roman"/>
          <w:sz w:val="14"/>
          <w:szCs w:val="14"/>
          <w:color w:val="auto"/>
        </w:rPr>
        <w:t>Under the terms of the junior subordinated indenture, the events that constitute an event of default for a series of junior subordinated debt securities will include:</w:t>
      </w:r>
    </w:p>
    <w:p>
      <w:pPr>
        <w:spacing w:after="0" w:line="33" w:lineRule="exact"/>
        <w:rPr>
          <w:sz w:val="20"/>
          <w:szCs w:val="20"/>
          <w:color w:val="auto"/>
        </w:rPr>
      </w:pPr>
    </w:p>
    <w:p>
      <w:pPr>
        <w:ind w:left="1780" w:hanging="147"/>
        <w:spacing w:after="0"/>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our bankruptcy, insolvency or receivership, and</w:t>
      </w:r>
    </w:p>
    <w:p>
      <w:pPr>
        <w:spacing w:after="0" w:line="87" w:lineRule="exact"/>
        <w:rPr>
          <w:rFonts w:ascii="Times New Roman" w:cs="Times New Roman" w:eastAsia="Times New Roman" w:hAnsi="Times New Roman"/>
          <w:sz w:val="14"/>
          <w:szCs w:val="14"/>
          <w:color w:val="auto"/>
        </w:rPr>
      </w:pPr>
    </w:p>
    <w:p>
      <w:pPr>
        <w:ind w:left="1780" w:right="1519" w:hanging="147"/>
        <w:spacing w:after="0" w:line="276" w:lineRule="auto"/>
        <w:tabs>
          <w:tab w:leader="none" w:pos="1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specified in the applicable board resolution or supplemental indenture under which the series of junior subordinated debt securities is issued.</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1" w:name="page62"/>
    <w:bookmarkEnd w:id="61"/>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19" w:firstLine="276"/>
        <w:spacing w:after="0" w:line="253"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there shall be no right of acceleration of principal and accrued but unpaid interest on any series of junior subordinated debt securities in the case of any default in the payment of principal of, premium, if any, or interest in such series of junior subordinated debt securities or any failure by us or, if applicable, the Subsidiary Guarantor to comply with any covenant contained in the junior subordinated indenture or the junior subordinated debt securities of such series.</w:t>
      </w:r>
    </w:p>
    <w:p>
      <w:pPr>
        <w:spacing w:after="0" w:line="30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Effect of Event of Default</w:t>
      </w:r>
    </w:p>
    <w:p>
      <w:pPr>
        <w:spacing w:after="0" w:line="120" w:lineRule="exact"/>
        <w:rPr>
          <w:sz w:val="20"/>
          <w:szCs w:val="20"/>
          <w:color w:val="auto"/>
        </w:rPr>
      </w:pPr>
    </w:p>
    <w:p>
      <w:pPr>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The holders of a majority in aggregate outstanding principal amount of the series of junior subordinated debt securities have the right to direct the time, method and place of conducting any proceeding for any remedy available to the trustee. The trustee or the holders of not less than 25% in aggregate outstanding principal amount of the series of junior subordinated debt securities may declare the principal and accrued but unpaid interest due and payable immediately upon an event of default (other than an event of default relating to our bankruptcy, insolvency or reorganization). If an event of default relating to our bankruptcy, insolvency or reorganization occurs, the principal amount of all junior subordinated debt securities of the series shall automatically, and without any declaration or other action on the part of the trustee or any holder of junior subordinated debt securities, become due and payable.</w:t>
      </w:r>
    </w:p>
    <w:p>
      <w:pPr>
        <w:spacing w:after="0" w:line="95" w:lineRule="exact"/>
        <w:rPr>
          <w:sz w:val="20"/>
          <w:szCs w:val="20"/>
          <w:color w:val="auto"/>
        </w:rPr>
      </w:pPr>
    </w:p>
    <w:p>
      <w:pPr>
        <w:ind w:left="1360" w:right="2119" w:firstLine="276"/>
        <w:spacing w:after="0" w:line="276" w:lineRule="auto"/>
        <w:rPr>
          <w:sz w:val="20"/>
          <w:szCs w:val="20"/>
          <w:color w:val="auto"/>
        </w:rPr>
      </w:pPr>
      <w:r>
        <w:rPr>
          <w:rFonts w:ascii="Times New Roman" w:cs="Times New Roman" w:eastAsia="Times New Roman" w:hAnsi="Times New Roman"/>
          <w:sz w:val="14"/>
          <w:szCs w:val="14"/>
          <w:color w:val="auto"/>
        </w:rPr>
        <w:t>We will be required under the junior subordinated indenture to file annually with the junior subordinated indenture trustee a certificate of compliance.</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10" w:lineRule="exact"/>
        <w:rPr>
          <w:sz w:val="20"/>
          <w:szCs w:val="20"/>
          <w:color w:val="auto"/>
        </w:rPr>
      </w:pPr>
    </w:p>
    <w:p>
      <w:pPr>
        <w:ind w:left="1360" w:right="1419" w:firstLine="276"/>
        <w:spacing w:after="0" w:line="276" w:lineRule="auto"/>
        <w:rPr>
          <w:sz w:val="20"/>
          <w:szCs w:val="20"/>
          <w:color w:val="auto"/>
        </w:rPr>
      </w:pPr>
      <w:r>
        <w:rPr>
          <w:rFonts w:ascii="Times New Roman" w:cs="Times New Roman" w:eastAsia="Times New Roman" w:hAnsi="Times New Roman"/>
          <w:sz w:val="14"/>
          <w:szCs w:val="14"/>
          <w:color w:val="auto"/>
        </w:rPr>
        <w:t>The junior subordinated indenture provides that when, among other things, all junior subordinated debt securities of a series not previously delivered to the trustee for cancellation:</w:t>
      </w:r>
    </w:p>
    <w:p>
      <w:pPr>
        <w:spacing w:after="0" w:line="44" w:lineRule="exact"/>
        <w:rPr>
          <w:sz w:val="20"/>
          <w:szCs w:val="20"/>
          <w:color w:val="auto"/>
        </w:rPr>
      </w:pPr>
    </w:p>
    <w:p>
      <w:pPr>
        <w:ind w:left="1780" w:hanging="147"/>
        <w:spacing w:after="0"/>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or</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of the date of deposit, or</w:t>
      </w:r>
    </w:p>
    <w:p>
      <w:pPr>
        <w:spacing w:after="0" w:line="87" w:lineRule="exact"/>
        <w:rPr>
          <w:rFonts w:ascii="Times New Roman" w:cs="Times New Roman" w:eastAsia="Times New Roman" w:hAnsi="Times New Roman"/>
          <w:sz w:val="14"/>
          <w:szCs w:val="14"/>
          <w:color w:val="auto"/>
        </w:rPr>
      </w:pPr>
    </w:p>
    <w:p>
      <w:pPr>
        <w:ind w:left="1780" w:right="1439" w:hanging="147"/>
        <w:spacing w:after="0" w:line="276" w:lineRule="auto"/>
        <w:tabs>
          <w:tab w:leader="none" w:pos="17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to be called for redemption within one year under arrangements satisfactory to the trustee for the giving of notice of redemption by the trustee in the name, and at our expense,</w:t>
      </w:r>
    </w:p>
    <w:p>
      <w:pPr>
        <w:spacing w:after="0" w:line="73" w:lineRule="exact"/>
        <w:rPr>
          <w:sz w:val="20"/>
          <w:szCs w:val="20"/>
          <w:color w:val="auto"/>
        </w:rPr>
      </w:pPr>
    </w:p>
    <w:p>
      <w:pPr>
        <w:ind w:left="1360" w:right="1419"/>
        <w:spacing w:after="0" w:line="249" w:lineRule="auto"/>
        <w:rPr>
          <w:sz w:val="20"/>
          <w:szCs w:val="20"/>
          <w:color w:val="auto"/>
        </w:rPr>
      </w:pPr>
      <w:r>
        <w:rPr>
          <w:rFonts w:ascii="Times New Roman" w:cs="Times New Roman" w:eastAsia="Times New Roman" w:hAnsi="Times New Roman"/>
          <w:sz w:val="14"/>
          <w:szCs w:val="14"/>
          <w:color w:val="auto"/>
        </w:rPr>
        <w:t>and we deposit or cause to be deposited with the trustee, in trust, (</w:t>
      </w:r>
      <w:r>
        <w:rPr>
          <w:rFonts w:ascii="Times New Roman" w:cs="Times New Roman" w:eastAsia="Times New Roman" w:hAnsi="Times New Roman"/>
          <w:sz w:val="14"/>
          <w:szCs w:val="14"/>
          <w:i w:val="1"/>
          <w:iCs w:val="1"/>
          <w:color w:val="auto"/>
        </w:rPr>
        <w:t>1</w:t>
      </w:r>
      <w:r>
        <w:rPr>
          <w:rFonts w:ascii="Times New Roman" w:cs="Times New Roman" w:eastAsia="Times New Roman" w:hAnsi="Times New Roman"/>
          <w:sz w:val="14"/>
          <w:szCs w:val="14"/>
          <w:color w:val="auto"/>
        </w:rPr>
        <w:t>) money; (</w:t>
      </w:r>
      <w:r>
        <w:rPr>
          <w:rFonts w:ascii="Times New Roman" w:cs="Times New Roman" w:eastAsia="Times New Roman" w:hAnsi="Times New Roman"/>
          <w:sz w:val="14"/>
          <w:szCs w:val="14"/>
          <w:i w:val="1"/>
          <w:iCs w:val="1"/>
          <w:color w:val="auto"/>
        </w:rPr>
        <w:t>2</w:t>
      </w:r>
      <w:r>
        <w:rPr>
          <w:rFonts w:ascii="Times New Roman" w:cs="Times New Roman" w:eastAsia="Times New Roman" w:hAnsi="Times New Roman"/>
          <w:sz w:val="14"/>
          <w:szCs w:val="14"/>
          <w:color w:val="auto"/>
        </w:rPr>
        <w:t>) government obligations which through the scheduled payment of principal and interest in respect thereof in accordance with their terms will provide, not later than one day before the due date of any payment, money; or (</w:t>
      </w:r>
      <w:r>
        <w:rPr>
          <w:rFonts w:ascii="Times New Roman" w:cs="Times New Roman" w:eastAsia="Times New Roman" w:hAnsi="Times New Roman"/>
          <w:sz w:val="14"/>
          <w:szCs w:val="14"/>
          <w:i w:val="1"/>
          <w:iCs w:val="1"/>
          <w:color w:val="auto"/>
        </w:rPr>
        <w:t>3</w:t>
      </w:r>
      <w:r>
        <w:rPr>
          <w:rFonts w:ascii="Times New Roman" w:cs="Times New Roman" w:eastAsia="Times New Roman" w:hAnsi="Times New Roman"/>
          <w:sz w:val="14"/>
          <w:szCs w:val="14"/>
          <w:color w:val="auto"/>
        </w:rPr>
        <w:t>) a combination thereof, in each case in an amount sufficient to pay and discharge, and which shall be applied by the trustee to pay and discharge, the entire indebtedness on the junior subordinated debt securities of such series not previously delivered to the trustee for cancellation, for the principal, premium, if any, and interest on the date of the deposit or to the stated maturity or redemption date, as the case may be, then the junior subordinated indenture will cease to be of further effect with respect to junior subordinated debt securities of such series and we will be deemed to have satisfied and discharged the junior subordinated indenture with respect to junior subordinated debt securities of such series. However, we will continue to be obligated to pay all other sums due under the junior subordinated indenture and to provide the officers’ certificates and opinions of counsel described in the junior subordinated indenture.</w:t>
      </w:r>
    </w:p>
    <w:p>
      <w:pPr>
        <w:spacing w:after="0" w:line="1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Defeasance and Covenant Defeasance</w:t>
      </w:r>
    </w:p>
    <w:p>
      <w:pPr>
        <w:spacing w:after="0" w:line="120" w:lineRule="exact"/>
        <w:rPr>
          <w:sz w:val="20"/>
          <w:szCs w:val="20"/>
          <w:color w:val="auto"/>
        </w:rPr>
      </w:pPr>
    </w:p>
    <w:p>
      <w:pPr>
        <w:ind w:left="1360" w:right="1399" w:firstLine="276"/>
        <w:spacing w:after="0" w:line="251"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junior subordinated indenture provides that we may discharge all of our obligations, other than as to transfers and exchanges and certain other specified obligations, under any series of the junior subordinated debt securities at any time, and that we may also be released from our obligations described above under “Consolidation, Merger, Sale of Assets and Other Transactions” and from certain other obligations, including obligations imposed by supplemental indentures with respect to that series, if any, and elect not to comply with those sections and obligations without creating an event of default. Discharge under the first procedure is called “defeasance” and under the second procedure is called “covenant defeasance.”</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2" w:name="page63"/>
    <w:bookmarkEnd w:id="6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Defeasance or covenant defeasance may be effected only if:</w:t>
      </w:r>
    </w:p>
    <w:p>
      <w:pPr>
        <w:spacing w:after="0" w:line="87" w:lineRule="exact"/>
        <w:rPr>
          <w:sz w:val="20"/>
          <w:szCs w:val="20"/>
          <w:color w:val="auto"/>
        </w:rPr>
      </w:pPr>
    </w:p>
    <w:p>
      <w:pPr>
        <w:ind w:left="1780" w:right="1599" w:hanging="147"/>
        <w:spacing w:after="0" w:line="256" w:lineRule="auto"/>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irrevocably deposit with the trustee money or United States government obligations or a combination thereof, as trust funds in an amount certified to be sufficient to pay on the respective stated maturities, the principal of and any premium and interest on, all outstanding junior subordinated debt securities of that series,</w:t>
      </w:r>
    </w:p>
    <w:p>
      <w:pPr>
        <w:spacing w:after="0" w:line="58"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an opinion of counsel to the effect that:</w:t>
      </w:r>
    </w:p>
    <w:p>
      <w:pPr>
        <w:spacing w:after="0" w:line="87" w:lineRule="exact"/>
        <w:rPr>
          <w:rFonts w:ascii="Times New Roman" w:cs="Times New Roman" w:eastAsia="Times New Roman" w:hAnsi="Times New Roman"/>
          <w:sz w:val="14"/>
          <w:szCs w:val="14"/>
          <w:color w:val="auto"/>
        </w:rPr>
      </w:pPr>
    </w:p>
    <w:p>
      <w:pPr>
        <w:ind w:left="2040" w:right="1619" w:hanging="130"/>
        <w:spacing w:after="0" w:line="261" w:lineRule="auto"/>
        <w:tabs>
          <w:tab w:leader="none" w:pos="204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the junior subordinated debt securities of that series will not recognize gain or loss for United States federal income tax purposes as a result of the deposit, defeasance and discharge or as a result of the deposit and covenant defeasance, and</w:t>
      </w:r>
    </w:p>
    <w:p>
      <w:pPr>
        <w:spacing w:after="0" w:line="54" w:lineRule="exact"/>
        <w:rPr>
          <w:rFonts w:ascii="Times New Roman" w:cs="Times New Roman" w:eastAsia="Times New Roman" w:hAnsi="Times New Roman"/>
          <w:sz w:val="14"/>
          <w:szCs w:val="14"/>
          <w:color w:val="auto"/>
        </w:rPr>
      </w:pPr>
    </w:p>
    <w:p>
      <w:pPr>
        <w:ind w:left="2040" w:right="1419" w:hanging="130"/>
        <w:spacing w:after="0" w:line="261" w:lineRule="auto"/>
        <w:tabs>
          <w:tab w:leader="none" w:pos="204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 defeasance and discharge or the deposit and covenant defeasance will not otherwise alter those holders’ United States federal income tax treatment of principal and interest payments on the junior subordinated debt securities of that series,</w:t>
      </w:r>
    </w:p>
    <w:p>
      <w:pPr>
        <w:spacing w:after="0" w:line="85" w:lineRule="exact"/>
        <w:rPr>
          <w:sz w:val="20"/>
          <w:szCs w:val="20"/>
          <w:color w:val="auto"/>
        </w:rPr>
      </w:pPr>
    </w:p>
    <w:p>
      <w:pPr>
        <w:ind w:left="1360" w:right="1719"/>
        <w:spacing w:after="0" w:line="261" w:lineRule="auto"/>
        <w:rPr>
          <w:sz w:val="20"/>
          <w:szCs w:val="20"/>
          <w:color w:val="auto"/>
        </w:rPr>
      </w:pPr>
      <w:r>
        <w:rPr>
          <w:rFonts w:ascii="Times New Roman" w:cs="Times New Roman" w:eastAsia="Times New Roman" w:hAnsi="Times New Roman"/>
          <w:sz w:val="14"/>
          <w:szCs w:val="14"/>
          <w:color w:val="auto"/>
        </w:rPr>
        <w:t>in the case of a defeasance, this opinion must be based on a ruling of the Internal Revenue Service or a change in United States federal income tax law occurring after the date of execution of the applicable indenture, that result would not occur under current tax law,</w:t>
      </w:r>
    </w:p>
    <w:p>
      <w:pPr>
        <w:spacing w:after="0" w:line="54" w:lineRule="exact"/>
        <w:rPr>
          <w:sz w:val="20"/>
          <w:szCs w:val="20"/>
          <w:color w:val="auto"/>
        </w:rPr>
      </w:pPr>
    </w:p>
    <w:p>
      <w:pPr>
        <w:ind w:left="1780" w:hanging="147"/>
        <w:spacing w:after="0"/>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under the junior subordinated indenture has occurred and is continuing,</w:t>
      </w:r>
    </w:p>
    <w:p>
      <w:pPr>
        <w:spacing w:after="0" w:line="87" w:lineRule="exact"/>
        <w:rPr>
          <w:rFonts w:ascii="Times New Roman" w:cs="Times New Roman" w:eastAsia="Times New Roman" w:hAnsi="Times New Roman"/>
          <w:sz w:val="14"/>
          <w:szCs w:val="14"/>
          <w:color w:val="auto"/>
        </w:rPr>
      </w:pPr>
    </w:p>
    <w:p>
      <w:pPr>
        <w:ind w:left="1780" w:right="1399" w:hanging="147"/>
        <w:spacing w:after="0" w:line="261"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or covenant defeasance does not result in a breach or violation of, or constitute a default under, any indenture or other agreement or instrument for borrowed money to which we are a party or by which we are bound,</w:t>
      </w:r>
    </w:p>
    <w:p>
      <w:pPr>
        <w:spacing w:after="0" w:line="54" w:lineRule="exact"/>
        <w:rPr>
          <w:rFonts w:ascii="Times New Roman" w:cs="Times New Roman" w:eastAsia="Times New Roman" w:hAnsi="Times New Roman"/>
          <w:sz w:val="14"/>
          <w:szCs w:val="14"/>
          <w:color w:val="auto"/>
        </w:rPr>
      </w:pPr>
    </w:p>
    <w:p>
      <w:pPr>
        <w:ind w:left="1780" w:right="1639" w:hanging="147"/>
        <w:spacing w:after="0" w:line="256"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or covenant defeasance does not result in the trust arising from such deposit constituting an investment company within the meaning of the Investment Company Act of 1940 unless such trust shall be registered under the Investment Company Act of 1940 or exempt from registration thereunder,</w:t>
      </w:r>
    </w:p>
    <w:p>
      <w:pPr>
        <w:spacing w:after="0" w:line="58" w:lineRule="exact"/>
        <w:rPr>
          <w:rFonts w:ascii="Times New Roman" w:cs="Times New Roman" w:eastAsia="Times New Roman" w:hAnsi="Times New Roman"/>
          <w:sz w:val="14"/>
          <w:szCs w:val="14"/>
          <w:color w:val="auto"/>
        </w:rPr>
      </w:pPr>
    </w:p>
    <w:p>
      <w:pPr>
        <w:ind w:left="1780" w:right="1619" w:hanging="147"/>
        <w:spacing w:after="0" w:line="261" w:lineRule="auto"/>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 to the trustee an officers’ certificate and an opinion of counsel, each stating that all conditions precedent with respect to such defeasance or covenant defeasance have been complied with, and</w:t>
      </w:r>
    </w:p>
    <w:p>
      <w:pPr>
        <w:spacing w:after="0" w:line="5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conditions specified in the junior subordinated indenture are met.</w:t>
      </w:r>
    </w:p>
    <w:p>
      <w:pPr>
        <w:spacing w:after="0" w:line="118" w:lineRule="exact"/>
        <w:rPr>
          <w:sz w:val="20"/>
          <w:szCs w:val="20"/>
          <w:color w:val="auto"/>
        </w:rPr>
      </w:pPr>
    </w:p>
    <w:p>
      <w:pPr>
        <w:ind w:left="1360" w:right="1399" w:firstLine="276"/>
        <w:spacing w:after="0" w:line="254" w:lineRule="auto"/>
        <w:rPr>
          <w:sz w:val="20"/>
          <w:szCs w:val="20"/>
          <w:color w:val="auto"/>
        </w:rPr>
      </w:pPr>
      <w:r>
        <w:rPr>
          <w:rFonts w:ascii="Times New Roman" w:cs="Times New Roman" w:eastAsia="Times New Roman" w:hAnsi="Times New Roman"/>
          <w:sz w:val="14"/>
          <w:szCs w:val="14"/>
          <w:color w:val="auto"/>
        </w:rPr>
        <w:t>The junior subordinated indenture will not be discharged as described above if we have defaulted in the payment of principal of, premium, if any, or interest on any senior indebtedness, as defined below under “Subordination,” and that default is continuing or another event of default on the senior indebtedness then exists and has resulted in the senior indebtedness becoming or being declared due and payable prior to the date it otherwise would have become due and payable.</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Conversion or Exchange</w:t>
      </w:r>
    </w:p>
    <w:p>
      <w:pPr>
        <w:spacing w:after="0" w:line="110" w:lineRule="exact"/>
        <w:rPr>
          <w:sz w:val="20"/>
          <w:szCs w:val="20"/>
          <w:color w:val="auto"/>
        </w:rPr>
      </w:pPr>
    </w:p>
    <w:p>
      <w:pPr>
        <w:ind w:left="1360" w:right="1379" w:firstLine="276"/>
        <w:spacing w:after="0" w:line="254" w:lineRule="auto"/>
        <w:rPr>
          <w:sz w:val="20"/>
          <w:szCs w:val="20"/>
          <w:color w:val="auto"/>
        </w:rPr>
      </w:pPr>
      <w:r>
        <w:rPr>
          <w:rFonts w:ascii="Times New Roman" w:cs="Times New Roman" w:eastAsia="Times New Roman" w:hAnsi="Times New Roman"/>
          <w:sz w:val="14"/>
          <w:szCs w:val="14"/>
          <w:color w:val="auto"/>
        </w:rPr>
        <w:t>We may issue junior subordinated debt securities that we may convert or exchange into other securities, property or assets. If so, we will describe the specific terms on which junior subordinated debt securities may be converted or exchanged in the applicable prospectus supplement. The conversion or exchange may be mandatory, at your option or at our option. The applicable prospectus supplement will state the manner in which the securities, property or assets you would receive would be issued or delivered.</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120" w:lineRule="exact"/>
        <w:rPr>
          <w:sz w:val="20"/>
          <w:szCs w:val="20"/>
          <w:color w:val="auto"/>
        </w:rPr>
      </w:pPr>
    </w:p>
    <w:p>
      <w:pPr>
        <w:ind w:left="1360" w:right="1399" w:firstLine="276"/>
        <w:spacing w:after="0" w:line="261" w:lineRule="auto"/>
        <w:rPr>
          <w:sz w:val="20"/>
          <w:szCs w:val="20"/>
          <w:color w:val="auto"/>
        </w:rPr>
      </w:pPr>
      <w:r>
        <w:rPr>
          <w:rFonts w:ascii="Times New Roman" w:cs="Times New Roman" w:eastAsia="Times New Roman" w:hAnsi="Times New Roman"/>
          <w:sz w:val="14"/>
          <w:szCs w:val="14"/>
          <w:color w:val="auto"/>
        </w:rPr>
        <w:t>In the junior subordinated indenture, we have agreed, and holders of junior subordinated debt securities will be deemed to have agreed, that any junior subordinated debt securities are subordinate and junior in right of payment to all senior indebtedness to the extent provided in the junior subordinated indenture.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3" w:name="page64"/>
    <w:bookmarkEnd w:id="63"/>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79" w:firstLine="276"/>
        <w:spacing w:after="0" w:line="241" w:lineRule="auto"/>
        <w:rPr>
          <w:sz w:val="20"/>
          <w:szCs w:val="20"/>
          <w:color w:val="auto"/>
        </w:rPr>
      </w:pPr>
      <w:r>
        <w:rPr>
          <w:rFonts w:ascii="Times New Roman" w:cs="Times New Roman" w:eastAsia="Times New Roman" w:hAnsi="Times New Roman"/>
          <w:sz w:val="14"/>
          <w:szCs w:val="14"/>
          <w:color w:val="auto"/>
        </w:rPr>
        <w:t>Upon any payment or distribution of assets to creditors upon any liquidation, dissolution, winding up, reorganization, assignment for the benefit of creditors, marshaling of assets or any bankruptcy, insolvency, debt restructuring or similar proceeding in connection with our insolvency or bankruptcy, the holders of senior indebtedness will first be entitled to receive payment in full of principal of, premium, if any, and interest on the senior indebtedness before the holders of junior subordinated debt securities will be entitled to receive or retain any payment of the principal of, premium, if any, or interest on the junior subordinated debt securities.</w:t>
      </w:r>
    </w:p>
    <w:p>
      <w:pPr>
        <w:spacing w:after="0" w:line="90" w:lineRule="exact"/>
        <w:rPr>
          <w:sz w:val="20"/>
          <w:szCs w:val="20"/>
          <w:color w:val="auto"/>
        </w:rPr>
      </w:pPr>
    </w:p>
    <w:p>
      <w:pPr>
        <w:ind w:left="1360" w:right="1399" w:firstLine="276"/>
        <w:spacing w:after="0" w:line="246" w:lineRule="auto"/>
        <w:rPr>
          <w:sz w:val="20"/>
          <w:szCs w:val="20"/>
          <w:color w:val="auto"/>
        </w:rPr>
      </w:pPr>
      <w:r>
        <w:rPr>
          <w:rFonts w:ascii="Times New Roman" w:cs="Times New Roman" w:eastAsia="Times New Roman" w:hAnsi="Times New Roman"/>
          <w:sz w:val="14"/>
          <w:szCs w:val="14"/>
          <w:color w:val="auto"/>
        </w:rPr>
        <w:t>If the maturity of any junior subordinated debt securities is accelerated, the holders of all senior indebtedness outstanding at the time of the acceleration will first be entitled to receive payment in full of all amounts due, including any amounts due upon acceleration, before you will be entitled to receive any payment of the principal of, premium, if any, or interest on the junior subordinated debt securities.</w:t>
      </w:r>
    </w:p>
    <w:p>
      <w:pPr>
        <w:spacing w:after="0" w:line="85" w:lineRule="exact"/>
        <w:rPr>
          <w:sz w:val="20"/>
          <w:szCs w:val="20"/>
          <w:color w:val="auto"/>
        </w:rPr>
      </w:pPr>
    </w:p>
    <w:p>
      <w:pPr>
        <w:ind w:left="1360" w:right="1459" w:firstLine="276"/>
        <w:spacing w:after="0" w:line="254" w:lineRule="auto"/>
        <w:rPr>
          <w:sz w:val="20"/>
          <w:szCs w:val="20"/>
          <w:color w:val="auto"/>
        </w:rPr>
      </w:pPr>
      <w:r>
        <w:rPr>
          <w:rFonts w:ascii="Times New Roman" w:cs="Times New Roman" w:eastAsia="Times New Roman" w:hAnsi="Times New Roman"/>
          <w:sz w:val="14"/>
          <w:szCs w:val="14"/>
          <w:color w:val="auto"/>
        </w:rPr>
        <w:t>We will not make any payments of principal of, premium, if any, or interest on the junior subordinated debt securities or for the acquisition of junior subordinated debt securities (other than any sinking fund payment) if:</w:t>
      </w:r>
    </w:p>
    <w:p>
      <w:pPr>
        <w:spacing w:after="0" w:line="48" w:lineRule="exact"/>
        <w:rPr>
          <w:sz w:val="20"/>
          <w:szCs w:val="20"/>
          <w:color w:val="auto"/>
        </w:rPr>
      </w:pPr>
    </w:p>
    <w:p>
      <w:pPr>
        <w:ind w:left="1780" w:hanging="147"/>
        <w:spacing w:after="0"/>
        <w:tabs>
          <w:tab w:leader="none" w:pos="17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any payment on senior indebtedness then exists,</w:t>
      </w:r>
    </w:p>
    <w:p>
      <w:pPr>
        <w:spacing w:after="0" w:line="87" w:lineRule="exact"/>
        <w:rPr>
          <w:rFonts w:ascii="Times New Roman" w:cs="Times New Roman" w:eastAsia="Times New Roman" w:hAnsi="Times New Roman"/>
          <w:sz w:val="14"/>
          <w:szCs w:val="14"/>
          <w:color w:val="auto"/>
        </w:rPr>
      </w:pPr>
    </w:p>
    <w:p>
      <w:pPr>
        <w:ind w:left="1780" w:right="1379" w:hanging="147"/>
        <w:spacing w:after="0" w:line="258" w:lineRule="auto"/>
        <w:tabs>
          <w:tab w:leader="none" w:pos="17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on any senior indebtedness resulting in the acceleration of its maturity then exists, or</w:t>
      </w:r>
    </w:p>
    <w:p>
      <w:pPr>
        <w:spacing w:after="0" w:line="240"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judicial proceeding is pending in connection with default.</w:t>
      </w:r>
    </w:p>
    <w:p>
      <w:pPr>
        <w:spacing w:after="0" w:line="108" w:lineRule="exact"/>
        <w:rPr>
          <w:sz w:val="20"/>
          <w:szCs w:val="20"/>
          <w:color w:val="auto"/>
        </w:rPr>
      </w:pPr>
    </w:p>
    <w:p>
      <w:pPr>
        <w:ind w:left="1360" w:right="1479" w:firstLine="276"/>
        <w:spacing w:after="0" w:line="276" w:lineRule="auto"/>
        <w:rPr>
          <w:sz w:val="20"/>
          <w:szCs w:val="20"/>
          <w:color w:val="auto"/>
        </w:rPr>
      </w:pPr>
      <w:r>
        <w:rPr>
          <w:rFonts w:ascii="Times New Roman" w:cs="Times New Roman" w:eastAsia="Times New Roman" w:hAnsi="Times New Roman"/>
          <w:sz w:val="14"/>
          <w:szCs w:val="14"/>
          <w:color w:val="auto"/>
        </w:rPr>
        <w:t>When we use the term “indebtedness,” we mean, with respect to any person, whether recourse is to all or a portion of the assets of that person and whether or not contingent:</w:t>
      </w:r>
    </w:p>
    <w:p>
      <w:pPr>
        <w:spacing w:after="0" w:line="33" w:lineRule="exact"/>
        <w:rPr>
          <w:sz w:val="20"/>
          <w:szCs w:val="20"/>
          <w:color w:val="auto"/>
        </w:rPr>
      </w:pPr>
    </w:p>
    <w:p>
      <w:pPr>
        <w:ind w:left="1780" w:hanging="147"/>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obligation of, or any obligation guaranteed by, that person for money borrowed,</w:t>
      </w:r>
    </w:p>
    <w:p>
      <w:pPr>
        <w:spacing w:after="0" w:line="87" w:lineRule="exact"/>
        <w:rPr>
          <w:rFonts w:ascii="Times New Roman" w:cs="Times New Roman" w:eastAsia="Times New Roman" w:hAnsi="Times New Roman"/>
          <w:sz w:val="14"/>
          <w:szCs w:val="14"/>
          <w:color w:val="auto"/>
        </w:rPr>
      </w:pPr>
    </w:p>
    <w:p>
      <w:pPr>
        <w:ind w:left="1780" w:right="1479" w:hanging="147"/>
        <w:spacing w:after="0" w:line="254" w:lineRule="auto"/>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obligation of, or any obligation guaranteed by, that person evidenced by bonds, debentures, notes or other similar instruments, including obligations incurred in connection with the acquisition of property, assets or businesses but excluding the obligation to pay the deferred purchase price of any such property, assets or business if payable in full within 90 days from the date such indebtedness was created,</w:t>
      </w:r>
    </w:p>
    <w:p>
      <w:pPr>
        <w:spacing w:after="0" w:line="58"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capital lease obligation of that person, and</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amendments, renewals, extensions, modifications and refundings of any such indebtedness.</w:t>
      </w:r>
    </w:p>
    <w:p>
      <w:pPr>
        <w:spacing w:after="0" w:line="108" w:lineRule="exact"/>
        <w:rPr>
          <w:sz w:val="20"/>
          <w:szCs w:val="20"/>
          <w:color w:val="auto"/>
        </w:rPr>
      </w:pPr>
    </w:p>
    <w:p>
      <w:pPr>
        <w:ind w:left="1360" w:right="1599" w:firstLine="276"/>
        <w:spacing w:after="0" w:line="276" w:lineRule="auto"/>
        <w:rPr>
          <w:sz w:val="20"/>
          <w:szCs w:val="20"/>
          <w:color w:val="auto"/>
        </w:rPr>
      </w:pPr>
      <w:r>
        <w:rPr>
          <w:rFonts w:ascii="Times New Roman" w:cs="Times New Roman" w:eastAsia="Times New Roman" w:hAnsi="Times New Roman"/>
          <w:sz w:val="14"/>
          <w:szCs w:val="14"/>
          <w:color w:val="auto"/>
        </w:rPr>
        <w:t>The term “indebtedness” does not include trade accounts payable or accrued liabilities arising in the ordinary course of business.</w:t>
      </w:r>
    </w:p>
    <w:p>
      <w:pPr>
        <w:spacing w:after="0" w:line="64" w:lineRule="exact"/>
        <w:rPr>
          <w:sz w:val="20"/>
          <w:szCs w:val="20"/>
          <w:color w:val="auto"/>
        </w:rPr>
      </w:pPr>
    </w:p>
    <w:p>
      <w:pPr>
        <w:ind w:left="1360" w:right="1399" w:firstLine="276"/>
        <w:spacing w:after="0"/>
        <w:rPr>
          <w:sz w:val="20"/>
          <w:szCs w:val="20"/>
          <w:color w:val="auto"/>
        </w:rPr>
      </w:pPr>
      <w:r>
        <w:rPr>
          <w:rFonts w:ascii="Times New Roman" w:cs="Times New Roman" w:eastAsia="Times New Roman" w:hAnsi="Times New Roman"/>
          <w:sz w:val="14"/>
          <w:szCs w:val="14"/>
          <w:color w:val="auto"/>
        </w:rPr>
        <w:t>When we use the term “senior indebtedness,” we mean the principal of, premium, if any, and interest on indebtedness, whether incurred on, prior to, or after the date of the junior subordinated indenture, unless the instrument creating or evidencing that indebtedness or pursuant to which that indebtedness is outstanding states that those obligations are not superior in right of payment to the junior subordinated debt securities or to other indebtedness which ranks equally with, or junior to, the junior subordinated debt securities. Interest on this senior indebtedness includes interest accruing on or after the filing of any petition in bankruptcy or for reorganization relating to Principal Financial Group, Inc., whether or not the claim for post-petition interest is allowed in that proceeding.</w:t>
      </w:r>
    </w:p>
    <w:p>
      <w:pPr>
        <w:spacing w:after="0" w:line="89" w:lineRule="exact"/>
        <w:rPr>
          <w:sz w:val="20"/>
          <w:szCs w:val="20"/>
          <w:color w:val="auto"/>
        </w:rPr>
      </w:pPr>
    </w:p>
    <w:p>
      <w:pPr>
        <w:ind w:left="1360" w:right="1499" w:firstLine="276"/>
        <w:spacing w:after="0" w:line="261" w:lineRule="auto"/>
        <w:rPr>
          <w:sz w:val="20"/>
          <w:szCs w:val="20"/>
          <w:color w:val="auto"/>
        </w:rPr>
      </w:pPr>
      <w:r>
        <w:rPr>
          <w:rFonts w:ascii="Times New Roman" w:cs="Times New Roman" w:eastAsia="Times New Roman" w:hAnsi="Times New Roman"/>
          <w:sz w:val="14"/>
          <w:szCs w:val="14"/>
          <w:color w:val="auto"/>
        </w:rPr>
        <w:t>The junior subordinated indenture does not limit the amount of additional senior indebtedness that we may incur. We expect from time to time to incur additional senior indebtedness.</w:t>
      </w:r>
    </w:p>
    <w:p>
      <w:pPr>
        <w:spacing w:after="0" w:line="74" w:lineRule="exact"/>
        <w:rPr>
          <w:sz w:val="20"/>
          <w:szCs w:val="20"/>
          <w:color w:val="auto"/>
        </w:rPr>
      </w:pPr>
    </w:p>
    <w:p>
      <w:pPr>
        <w:ind w:left="1360" w:right="1379" w:firstLine="276"/>
        <w:spacing w:after="0" w:line="254" w:lineRule="auto"/>
        <w:rPr>
          <w:sz w:val="20"/>
          <w:szCs w:val="20"/>
          <w:color w:val="auto"/>
        </w:rPr>
      </w:pPr>
      <w:r>
        <w:rPr>
          <w:rFonts w:ascii="Times New Roman" w:cs="Times New Roman" w:eastAsia="Times New Roman" w:hAnsi="Times New Roman"/>
          <w:sz w:val="14"/>
          <w:szCs w:val="14"/>
          <w:color w:val="auto"/>
        </w:rPr>
        <w:t>The junior subordinated indenture provides that we may change the subordination provisions relating to any particular issue of junior subordinated debt securities prior to issuance. We will describe any change in the prospectus supplement relating to the junior subordinated debt securities.</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0" w:lineRule="exact"/>
        <w:rPr>
          <w:sz w:val="20"/>
          <w:szCs w:val="20"/>
          <w:color w:val="auto"/>
        </w:rPr>
      </w:pPr>
    </w:p>
    <w:p>
      <w:pPr>
        <w:ind w:left="1360" w:right="1479" w:firstLine="276"/>
        <w:spacing w:after="0" w:line="261" w:lineRule="auto"/>
        <w:rPr>
          <w:sz w:val="20"/>
          <w:szCs w:val="20"/>
          <w:color w:val="auto"/>
        </w:rPr>
      </w:pPr>
      <w:r>
        <w:rPr>
          <w:rFonts w:ascii="Times New Roman" w:cs="Times New Roman" w:eastAsia="Times New Roman" w:hAnsi="Times New Roman"/>
          <w:sz w:val="14"/>
          <w:szCs w:val="14"/>
          <w:color w:val="auto"/>
        </w:rPr>
        <w:t>The junior subordinated indenture and the junior subordinated debt securities will be governed by and construed in accordance with the laws of the State of New York.</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4" w:name="page65"/>
    <w:bookmarkEnd w:id="64"/>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120" w:lineRule="exact"/>
        <w:rPr>
          <w:sz w:val="20"/>
          <w:szCs w:val="20"/>
          <w:color w:val="auto"/>
        </w:rPr>
      </w:pPr>
    </w:p>
    <w:p>
      <w:pPr>
        <w:ind w:left="1360" w:right="1419" w:firstLine="276"/>
        <w:spacing w:after="0" w:line="252" w:lineRule="auto"/>
        <w:rPr>
          <w:sz w:val="20"/>
          <w:szCs w:val="20"/>
          <w:color w:val="auto"/>
        </w:rPr>
      </w:pPr>
      <w:r>
        <w:rPr>
          <w:rFonts w:ascii="Times New Roman" w:cs="Times New Roman" w:eastAsia="Times New Roman" w:hAnsi="Times New Roman"/>
          <w:sz w:val="14"/>
          <w:szCs w:val="14"/>
          <w:color w:val="auto"/>
        </w:rPr>
        <w:t>The trustee will have all the duties and responsibilities of an indenture trustee specified in the Trust Indenture Act. Subject to those provisions, the trustee will not be required to exercise any of its powers under the junior subordinated indenture at your request, unless you offer indemnity satisfactory to it against the costs, expenses and liabilities which the trustee might incur. The trustee will not be required to expend or risk its own funds or incur personal financial liability in performing its duties if the trustee reasonably believes that it is not reasonably assured of repayment or adequate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5" w:name="page66"/>
    <w:bookmarkEnd w:id="65"/>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 OF PRINCIPAL FINANCIAL GROUP, INC.</w:t>
      </w:r>
    </w:p>
    <w:p>
      <w:pPr>
        <w:spacing w:after="0" w:line="120" w:lineRule="exact"/>
        <w:rPr>
          <w:sz w:val="20"/>
          <w:szCs w:val="20"/>
          <w:color w:val="auto"/>
        </w:rPr>
      </w:pPr>
    </w:p>
    <w:p>
      <w:pPr>
        <w:ind w:left="1360" w:right="1519" w:firstLine="276"/>
        <w:spacing w:after="0" w:line="261" w:lineRule="auto"/>
        <w:rPr>
          <w:sz w:val="20"/>
          <w:szCs w:val="20"/>
          <w:color w:val="auto"/>
        </w:rPr>
      </w:pPr>
      <w:r>
        <w:rPr>
          <w:rFonts w:ascii="Times New Roman" w:cs="Times New Roman" w:eastAsia="Times New Roman" w:hAnsi="Times New Roman"/>
          <w:sz w:val="14"/>
          <w:szCs w:val="14"/>
          <w:color w:val="auto"/>
        </w:rPr>
        <w:t>Our authorized capital stock consists of 2.5 billion shares of common stock and 500 million shares of preferred stock.</w:t>
      </w:r>
    </w:p>
    <w:p>
      <w:pPr>
        <w:spacing w:after="0" w:line="7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As of December 31, 2025, we had approximately 217.4 million outstanding shares of common stock.</w:t>
      </w:r>
    </w:p>
    <w:p>
      <w:pPr>
        <w:spacing w:after="0" w:line="118" w:lineRule="exact"/>
        <w:rPr>
          <w:sz w:val="20"/>
          <w:szCs w:val="20"/>
          <w:color w:val="auto"/>
        </w:rPr>
      </w:pPr>
    </w:p>
    <w:p>
      <w:pPr>
        <w:ind w:left="1360" w:right="1419" w:firstLine="276"/>
        <w:spacing w:after="0" w:line="239" w:lineRule="auto"/>
        <w:rPr>
          <w:sz w:val="20"/>
          <w:szCs w:val="20"/>
          <w:color w:val="auto"/>
        </w:rPr>
      </w:pPr>
      <w:r>
        <w:rPr>
          <w:rFonts w:ascii="Times New Roman" w:cs="Times New Roman" w:eastAsia="Times New Roman" w:hAnsi="Times New Roman"/>
          <w:sz w:val="14"/>
          <w:szCs w:val="14"/>
          <w:color w:val="auto"/>
        </w:rPr>
        <w:t>The following description of our capital stock is a summary. It summarizes only those aspects of our capital stock which we believe will be most important to your decision to invest in our capital stock. You should keep in mind, however, that it is our Amended and Restated Certificate of Incorporation (“certificate of incorporation”), our Amended and Restated By-Laws (“by-laws”) and the Delaware General Corporation Law (“DGCL”), and not this summary, which define your rights as a securityholder. There may be other provisions in these documents which are also important to you. You should read these documents for a full description of the terms of our capital stock. Our certificate of incorporation and by-laws are filed as exhibits to the registration statement that includes this prospectus and are incorporated by reference herein. See “Where You Can Find More Information” for information on how to obtain copies of our certificate of incorporation and by-laws.</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0" w:lineRule="exact"/>
        <w:rPr>
          <w:sz w:val="20"/>
          <w:szCs w:val="20"/>
          <w:color w:val="auto"/>
        </w:rPr>
      </w:pPr>
    </w:p>
    <w:p>
      <w:pPr>
        <w:ind w:left="1360" w:right="1459" w:firstLine="276"/>
        <w:spacing w:after="0"/>
        <w:rPr>
          <w:sz w:val="20"/>
          <w:szCs w:val="20"/>
          <w:color w:val="auto"/>
        </w:rPr>
      </w:pPr>
      <w:r>
        <w:rPr>
          <w:rFonts w:ascii="Times New Roman" w:cs="Times New Roman" w:eastAsia="Times New Roman" w:hAnsi="Times New Roman"/>
          <w:sz w:val="14"/>
          <w:szCs w:val="14"/>
          <w:color w:val="auto"/>
        </w:rPr>
        <w:t>Holders of common stock are entitled to receive such dividends as may from time to time be declared by our board of directors out of funds legally available for the payment of such dividends. Holders of common stock are entitled to one vote per share on all matters on which the holders of common stock are entitled to vote and do not have any cumulative voting rights. Holders of common stock have no preemptive, conversion, redemption or sinking fund rights. In the event of a liquidation, dissolution or winding up of Principal Financial Group, Inc., holders of common stock are entitled to share equally and ratably in the assets of Principal Financial Group, Inc., if any, remaining after the payment of all liabilities of Principal Financial Group, Inc. and the liquidation preference of any outstanding class or series of preferred stock. The rights and privileges of holders of common stock are subject to any series of preferred stock that we may issue in the future, as described below. Our common stock is listed on the Nasdaq under the symbol “PFG”.</w:t>
      </w:r>
    </w:p>
    <w:p>
      <w:pPr>
        <w:spacing w:after="0" w:line="2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0" w:lineRule="exact"/>
        <w:rPr>
          <w:sz w:val="20"/>
          <w:szCs w:val="20"/>
          <w:color w:val="auto"/>
        </w:rPr>
      </w:pPr>
    </w:p>
    <w:p>
      <w:pPr>
        <w:ind w:left="1360" w:right="1539" w:firstLine="276"/>
        <w:spacing w:after="0" w:line="261" w:lineRule="auto"/>
        <w:rPr>
          <w:sz w:val="20"/>
          <w:szCs w:val="20"/>
          <w:color w:val="auto"/>
        </w:rPr>
      </w:pPr>
      <w:r>
        <w:rPr>
          <w:rFonts w:ascii="Times New Roman" w:cs="Times New Roman" w:eastAsia="Times New Roman" w:hAnsi="Times New Roman"/>
          <w:sz w:val="14"/>
          <w:szCs w:val="14"/>
          <w:color w:val="auto"/>
        </w:rPr>
        <w:t>We will describe the particular terms of any series of preferred stock and any related guarantee in the prospectus supplement relating to the offering.</w:t>
      </w:r>
    </w:p>
    <w:p>
      <w:pPr>
        <w:spacing w:after="0" w:line="74" w:lineRule="exact"/>
        <w:rPr>
          <w:sz w:val="20"/>
          <w:szCs w:val="20"/>
          <w:color w:val="auto"/>
        </w:rPr>
      </w:pPr>
    </w:p>
    <w:p>
      <w:pPr>
        <w:ind w:left="1360" w:right="1459" w:firstLine="276"/>
        <w:spacing w:after="0" w:line="246" w:lineRule="auto"/>
        <w:rPr>
          <w:sz w:val="20"/>
          <w:szCs w:val="20"/>
          <w:color w:val="auto"/>
        </w:rPr>
      </w:pPr>
      <w:r>
        <w:rPr>
          <w:rFonts w:ascii="Times New Roman" w:cs="Times New Roman" w:eastAsia="Times New Roman" w:hAnsi="Times New Roman"/>
          <w:sz w:val="14"/>
          <w:szCs w:val="14"/>
          <w:color w:val="auto"/>
        </w:rPr>
        <w:t>Our board of directors has the authority to issue preferred stock in one or more series and to fix the number of shares constituting any such series and the voting rights, designations, preferences and qualifications, limitations and restrictions of the shares constituting any series, without any further vote or action by our stockholders. The issuance of preferred stock by our board of directors could adversely affect the rights of holders of common stock.</w:t>
      </w:r>
    </w:p>
    <w:p>
      <w:pPr>
        <w:spacing w:after="0" w:line="86" w:lineRule="exact"/>
        <w:rPr>
          <w:sz w:val="20"/>
          <w:szCs w:val="20"/>
          <w:color w:val="auto"/>
        </w:rPr>
      </w:pPr>
    </w:p>
    <w:p>
      <w:pPr>
        <w:ind w:left="1360" w:right="1439" w:firstLine="276"/>
        <w:spacing w:after="0"/>
        <w:rPr>
          <w:sz w:val="20"/>
          <w:szCs w:val="20"/>
          <w:color w:val="auto"/>
        </w:rPr>
      </w:pPr>
      <w:r>
        <w:rPr>
          <w:rFonts w:ascii="Times New Roman" w:cs="Times New Roman" w:eastAsia="Times New Roman" w:hAnsi="Times New Roman"/>
          <w:sz w:val="14"/>
          <w:szCs w:val="14"/>
          <w:color w:val="auto"/>
        </w:rPr>
        <w:t>We will fix or designate the rights, preferences, privileges and restrictions, including dividend rights, voting rights, terms of redemption, retirement and sinking fund provisions and liquidation preferences, if any, of a series of preferred stock through a certificate of designation adopted by our board of directors. We will describe the terms, if any, on which shares of any series of preferred stock are convertible or exchangeable into common stock in the prospectus supplement relating to the offering. The conversion or exchange may be mandatory, at your option or at our option. The applicable prospectus supplement will state the manner in which the shares of common stock that you will receive as a holder of preferred stock would be converted or exchanged.</w:t>
      </w:r>
    </w:p>
    <w:p>
      <w:pPr>
        <w:spacing w:after="0" w:line="139" w:lineRule="exact"/>
        <w:rPr>
          <w:sz w:val="20"/>
          <w:szCs w:val="20"/>
          <w:color w:val="auto"/>
        </w:rPr>
      </w:pPr>
    </w:p>
    <w:p>
      <w:pPr>
        <w:ind w:left="1360" w:right="1659"/>
        <w:spacing w:after="0" w:line="279" w:lineRule="auto"/>
        <w:rPr>
          <w:sz w:val="20"/>
          <w:szCs w:val="20"/>
          <w:color w:val="auto"/>
        </w:rPr>
      </w:pPr>
      <w:r>
        <w:rPr>
          <w:rFonts w:ascii="Times New Roman" w:cs="Times New Roman" w:eastAsia="Times New Roman" w:hAnsi="Times New Roman"/>
          <w:sz w:val="14"/>
          <w:szCs w:val="14"/>
          <w:b w:val="1"/>
          <w:bCs w:val="1"/>
          <w:color w:val="auto"/>
        </w:rPr>
        <w:t>Change of Control Related Provisions in Our Certificate of Incorporation and By-Laws, and Delaware and Other State Law</w:t>
      </w:r>
    </w:p>
    <w:p>
      <w:pPr>
        <w:spacing w:after="0" w:line="62" w:lineRule="exact"/>
        <w:rPr>
          <w:sz w:val="20"/>
          <w:szCs w:val="20"/>
          <w:color w:val="auto"/>
        </w:rPr>
      </w:pPr>
    </w:p>
    <w:p>
      <w:pPr>
        <w:ind w:left="1360" w:right="1399" w:firstLine="276"/>
        <w:spacing w:after="0" w:line="242" w:lineRule="auto"/>
        <w:rPr>
          <w:sz w:val="20"/>
          <w:szCs w:val="20"/>
          <w:color w:val="auto"/>
        </w:rPr>
      </w:pPr>
      <w:r>
        <w:rPr>
          <w:rFonts w:ascii="Times New Roman" w:cs="Times New Roman" w:eastAsia="Times New Roman" w:hAnsi="Times New Roman"/>
          <w:sz w:val="14"/>
          <w:szCs w:val="14"/>
          <w:color w:val="auto"/>
        </w:rPr>
        <w:t>A number of provisions of our certificate of incorporation and by-laws deal with matters of corporate governance and rights of stockholders. The following discussion is a general summary of selected provisions of our certificate of incorporation and by-laws and regulatory provisions that might be deemed to have a potential antitakeover effect. These provisions may have the effect of discouraging a future takeover attempt</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6" w:name="page67"/>
    <w:bookmarkEnd w:id="66"/>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379"/>
        <w:spacing w:after="0"/>
        <w:rPr>
          <w:sz w:val="20"/>
          <w:szCs w:val="20"/>
          <w:color w:val="auto"/>
        </w:rPr>
      </w:pPr>
      <w:r>
        <w:rPr>
          <w:rFonts w:ascii="Times New Roman" w:cs="Times New Roman" w:eastAsia="Times New Roman" w:hAnsi="Times New Roman"/>
          <w:sz w:val="14"/>
          <w:szCs w:val="14"/>
          <w:color w:val="auto"/>
        </w:rPr>
        <w:t>which is not approved by our board of directors but which individual stockholders may deem to be in their best interests or in which stockholders may receive a substantial premium for their shares over then current market prices. As a result, stockholders who might desire to participate in such a transaction may not have an opportunity to do so. Such provisions will also render the removal of the incumbent board of directors or management more difficult. Some provisions of the DGCL and Iowa and other state insurance laws may also have an antitakeover effect. The following description of selected provisions of our certificate of incorporation and by-laws and selected provisions of the DGCL and Iowa and other state insurance laws are necessarily general and reference should be made in each case to our certificate of incorporation and by-laws, which are filed as exhibits to the registration statement that includes this prospectus, and to the provisions of those laws. See “Where You Can Find More Information” for information on where to obtain a copy of our certificate of incorporation and by-laws.</w:t>
      </w:r>
    </w:p>
    <w:p>
      <w:pPr>
        <w:spacing w:after="0" w:line="14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Unissued Shares of Capital Stock</w:t>
      </w:r>
    </w:p>
    <w:p>
      <w:pPr>
        <w:spacing w:after="0" w:line="118" w:lineRule="exact"/>
        <w:rPr>
          <w:sz w:val="20"/>
          <w:szCs w:val="20"/>
          <w:color w:val="auto"/>
        </w:rPr>
      </w:pPr>
    </w:p>
    <w:p>
      <w:pPr>
        <w:ind w:left="1360" w:right="1459" w:firstLine="276"/>
        <w:spacing w:after="0" w:line="242" w:lineRule="auto"/>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4"/>
          <w:szCs w:val="14"/>
          <w:color w:val="auto"/>
        </w:rPr>
        <w:t>As of December 31, 2025, we had approximately 217.4 million outstanding shares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 stock. The remaining shares of authorized and unissued common stock are available for future issuance without additional stockholder approval. While the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spacing w:after="0" w:line="85" w:lineRule="exact"/>
        <w:rPr>
          <w:sz w:val="20"/>
          <w:szCs w:val="20"/>
          <w:color w:val="auto"/>
        </w:rPr>
      </w:pPr>
    </w:p>
    <w:p>
      <w:pPr>
        <w:ind w:left="1360" w:right="1439" w:firstLine="276"/>
        <w:spacing w:after="0"/>
        <w:rPr>
          <w:sz w:val="20"/>
          <w:szCs w:val="20"/>
          <w:color w:val="auto"/>
        </w:rPr>
      </w:pPr>
      <w:r>
        <w:rPr>
          <w:rFonts w:ascii="Times New Roman" w:cs="Times New Roman" w:eastAsia="Times New Roman" w:hAnsi="Times New Roman"/>
          <w:sz w:val="14"/>
          <w:szCs w:val="14"/>
          <w:b w:val="1"/>
          <w:bCs w:val="1"/>
          <w:color w:val="auto"/>
        </w:rPr>
        <w:t xml:space="preserve">Preferred Stock. </w:t>
      </w:r>
      <w:r>
        <w:rPr>
          <w:rFonts w:ascii="Times New Roman" w:cs="Times New Roman" w:eastAsia="Times New Roman" w:hAnsi="Times New Roman"/>
          <w:sz w:val="14"/>
          <w:szCs w:val="14"/>
          <w:color w:val="auto"/>
        </w:rPr>
        <w:t>Our board of directors has the authority to issue preferred stock in one or more series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to fix the number of shares constituting any such series and the preferences, limitations and relative rights, including dividend rights, dividend rate, voting rights, terms of redemption, redemption price or prices, conversion rights and liquidation preferences of the shares constituting any series, without any further vote or action by our stockholders.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acquiror may find unattractive. This may have the effect of delaying or preventing a change in control, may discourage bids for the common stock at a premium over the market price of the common stock, and may adversely affect the market price of, and the voting and other rights of the holders of, common stock.</w:t>
      </w:r>
    </w:p>
    <w:p>
      <w:pPr>
        <w:spacing w:after="0" w:line="243" w:lineRule="exact"/>
        <w:rPr>
          <w:sz w:val="20"/>
          <w:szCs w:val="20"/>
          <w:color w:val="auto"/>
        </w:rPr>
      </w:pPr>
    </w:p>
    <w:p>
      <w:pPr>
        <w:ind w:left="1360" w:right="1379" w:firstLine="276"/>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Classified Board of Directors and Removal of Directors. </w:t>
      </w:r>
      <w:r>
        <w:rPr>
          <w:rFonts w:ascii="Times New Roman" w:cs="Times New Roman" w:eastAsia="Times New Roman" w:hAnsi="Times New Roman"/>
          <w:sz w:val="14"/>
          <w:szCs w:val="14"/>
          <w:color w:val="auto"/>
        </w:rPr>
        <w:t>Our certificate of incorporation provides that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directors shall be divided into three classes, as nearly equal in number as possible, with the term of office of each class to be three years. The classes serve staggered terms, such that the term of one class of directors expires each year. Any effort to obtain control of our board of directors by causing the election of a majority of the board of directors may require more time than would be required without a staggered election structure. Our certificate of incorporation also provides that directors may be removed only for cause at a meeting of stockholders by a vote of a majority of the shares then entitled to vote. This provision may have the effect of slowing or impeding a change in membership of our board of directors that would effect a change of control.</w:t>
      </w:r>
    </w:p>
    <w:p>
      <w:pPr>
        <w:spacing w:after="0" w:line="24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Restriction on Maximum Number of Directors and Filling of Vacancies on our Board of Directors.  </w:t>
      </w:r>
      <w:r>
        <w:rPr>
          <w:rFonts w:ascii="Times New Roman" w:cs="Times New Roman" w:eastAsia="Times New Roman" w:hAnsi="Times New Roman"/>
          <w:sz w:val="13"/>
          <w:szCs w:val="13"/>
          <w:color w:val="auto"/>
        </w:rPr>
        <w:t>Our by-</w:t>
      </w:r>
    </w:p>
    <w:p>
      <w:pPr>
        <w:spacing w:after="0" w:line="33" w:lineRule="exact"/>
        <w:rPr>
          <w:sz w:val="20"/>
          <w:szCs w:val="20"/>
          <w:color w:val="auto"/>
        </w:rPr>
      </w:pPr>
    </w:p>
    <w:p>
      <w:pPr>
        <w:ind w:left="1360" w:right="1399"/>
        <w:spacing w:after="0" w:line="247" w:lineRule="auto"/>
        <w:rPr>
          <w:sz w:val="20"/>
          <w:szCs w:val="20"/>
          <w:color w:val="auto"/>
        </w:rPr>
      </w:pPr>
      <w:r>
        <w:rPr>
          <w:rFonts w:ascii="Times New Roman" w:cs="Times New Roman" w:eastAsia="Times New Roman" w:hAnsi="Times New Roman"/>
          <w:sz w:val="14"/>
          <w:szCs w:val="14"/>
          <w:color w:val="auto"/>
        </w:rPr>
        <w:t>laws provide that the number of directors shall be fixed and increased or decreased from time to time by resolution of the board of directors, but the board of directors shall at no time consist of fewer than three directors. Stockholders can only remove a director for cause by a vote of a majority of the shares entitled to vote, in which case the vacancy caused by such removal may be filled at such meeting by the stockholders entitled to vote for the election of the director so removed. Any vacancy on the board of directors, including a vacancy resulting from an increase in the number of directors or resulting from a removal for cause where the stockholders have not filled the vacancy, may be filled by a majority of the directors then in office, although less than a quorum. If the vacancy is not so filled, it shall be filled by the stockholders at the next annual meeting of stockholders. The stockholders are not permitted to fill vacancies between annual meetings except where the vacancy resulted from a removal for cause. These provisions give incumbent directors significant authority that may have the effect of limiting the ability of stockholders to effect a change in management.</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7" w:name="page68"/>
    <w:bookmarkEnd w:id="67"/>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60" w:right="1419" w:firstLine="276"/>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Advance Notice Requirements for Nomination of Directors and Presentation of New Business at Meetings of Stockholders; Action by Written Consent. </w:t>
      </w:r>
      <w:r>
        <w:rPr>
          <w:rFonts w:ascii="Times New Roman" w:cs="Times New Roman" w:eastAsia="Times New Roman" w:hAnsi="Times New Roman"/>
          <w:sz w:val="14"/>
          <w:szCs w:val="14"/>
          <w:color w:val="auto"/>
        </w:rPr>
        <w:t>Our by-laws provide for advance notice requirements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stockholder proposals and nominations for director, including those set forth under “— Proxy Access” below. In addition, under the provisions of both our certificate of incorporation and by-laws, action may not be taken by written consent of stockholders; rather, any action taken by the stockholders must be effected at a duly called meeting. The Chairman of the board of directors, chief executive officer, or, under some circumstances, the president or any vice president, and the board of directors may call a special meeting. These provisions make it more procedurally difficult for a stockholder to place a proposal or nomination on the meeting agenda or to take action without a meeting, and therefore may reduce the likelihood that a stockholder will seek to take independent action to replace directors or seek a stockholder vote with respect to other matters that are not supported by management.</w:t>
      </w:r>
    </w:p>
    <w:p>
      <w:pPr>
        <w:spacing w:after="0" w:line="92" w:lineRule="exact"/>
        <w:rPr>
          <w:sz w:val="20"/>
          <w:szCs w:val="20"/>
          <w:color w:val="auto"/>
        </w:rPr>
      </w:pPr>
    </w:p>
    <w:p>
      <w:pPr>
        <w:ind w:left="1360" w:right="1399" w:firstLine="276"/>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Proxy Access. </w:t>
      </w:r>
      <w:r>
        <w:rPr>
          <w:rFonts w:ascii="Times New Roman" w:cs="Times New Roman" w:eastAsia="Times New Roman" w:hAnsi="Times New Roman"/>
          <w:sz w:val="14"/>
          <w:szCs w:val="14"/>
          <w:color w:val="auto"/>
        </w:rPr>
        <w:t>Our by-laws contain a “proxy access” provision that permits a stockholder or group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up to 20 stockholders owning 3% or more of our outstanding common stock continuously for at least three years to nominate one or more candidates for election to the board of directors, and requires us to include such candidate(s) in our proxy materials for the meeting at which such election will be held, provided that the stockholder(s) and the nominee(s) satisfy the requirements specified in our by-laws. The maximum number of nominees that may be included in the proxy materials pursuant to the proxy access provision may not exceed the greater of two directors or 20% of the number of directors in office. An eligible stockholder proposing to nominate a person for election to the board of directors through the proxy access provision must provide us with a notice requesting the inclusion of the director nominee in our proxy materials and other required information not less than 120 days nor more than 150 days prior to the first anniversary of the date of the proxy statement delivered in connection with the immediately preceding year’s annual meeting of stockholders (or, in the event that the annual meeting is called for a date that is not within 30 days before or after such anniversary date, no later than the close of business on the day that is 180 days prior to such other meeting date or the tenth day following the date such other meeting date is first publicly announced or disclosed, whichever first occurs).</w:t>
      </w:r>
    </w:p>
    <w:p>
      <w:pPr>
        <w:spacing w:after="0" w:line="29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Director Liability</w:t>
      </w:r>
    </w:p>
    <w:p>
      <w:pPr>
        <w:spacing w:after="0" w:line="110" w:lineRule="exact"/>
        <w:rPr>
          <w:sz w:val="20"/>
          <w:szCs w:val="20"/>
          <w:color w:val="auto"/>
        </w:rPr>
      </w:pPr>
    </w:p>
    <w:p>
      <w:pPr>
        <w:jc w:val="both"/>
        <w:ind w:left="1360" w:right="1579" w:firstLine="276"/>
        <w:spacing w:after="0" w:line="246" w:lineRule="auto"/>
        <w:rPr>
          <w:sz w:val="20"/>
          <w:szCs w:val="20"/>
          <w:color w:val="auto"/>
        </w:rPr>
      </w:pPr>
      <w:r>
        <w:rPr>
          <w:rFonts w:ascii="Times New Roman" w:cs="Times New Roman" w:eastAsia="Times New Roman" w:hAnsi="Times New Roman"/>
          <w:sz w:val="14"/>
          <w:szCs w:val="14"/>
          <w:color w:val="auto"/>
        </w:rPr>
        <w:t>Our certificate of incorporation contains a provision that is designed to limit our directors’ liability. Specifically, directors will not be held liable to Principal Financial Group, Inc. for monetary damages for breach of their fiduciary duty as a director, except to the extent that this limitation on or exemption from liability is not permitted by the DGCL and any amendments to that law.</w:t>
      </w:r>
    </w:p>
    <w:p>
      <w:pPr>
        <w:spacing w:after="0" w:line="85" w:lineRule="exact"/>
        <w:rPr>
          <w:sz w:val="20"/>
          <w:szCs w:val="20"/>
          <w:color w:val="auto"/>
        </w:rPr>
      </w:pPr>
    </w:p>
    <w:p>
      <w:pPr>
        <w:ind w:left="1360" w:right="1399" w:firstLine="276"/>
        <w:spacing w:after="0" w:line="239" w:lineRule="auto"/>
        <w:rPr>
          <w:sz w:val="20"/>
          <w:szCs w:val="20"/>
          <w:color w:val="auto"/>
        </w:rPr>
      </w:pPr>
      <w:r>
        <w:rPr>
          <w:rFonts w:ascii="Times New Roman" w:cs="Times New Roman" w:eastAsia="Times New Roman" w:hAnsi="Times New Roman"/>
          <w:sz w:val="14"/>
          <w:szCs w:val="14"/>
          <w:color w:val="auto"/>
        </w:rPr>
        <w:t>The principal effect of the limitation on liability provision is that a stockholder is unable to prosecute an action for monetary damages against a director of Principal Financial Group, Inc. unless the stockholder can demonstrate a basis for liability for which indemnification is not available under the DGCL. This provision, however, does not eliminate or limit director liability arising in connection with causes of action brought under the federal securities laws. Our certificate of incorporation does not eliminate our directors’ duty of care. The inclusion of this provision in our certificate of incorporation may, however, discourage or deter stockholders or management from bringing a lawsuit against directors for a breach of their fiduciary duties, even though such an action, if successful, might otherwise have benefited Principal Financial Group, Inc. and our stockholders. This provision should not affect the availability of equitable remedies such as injunction or rescission based upon a director’s breach of the duty of care.</w:t>
      </w:r>
    </w:p>
    <w:p>
      <w:pPr>
        <w:spacing w:after="0" w:line="94" w:lineRule="exact"/>
        <w:rPr>
          <w:sz w:val="20"/>
          <w:szCs w:val="20"/>
          <w:color w:val="auto"/>
        </w:rPr>
      </w:pPr>
    </w:p>
    <w:p>
      <w:pPr>
        <w:ind w:left="1360" w:right="1439" w:firstLine="276"/>
        <w:spacing w:after="0"/>
        <w:rPr>
          <w:sz w:val="20"/>
          <w:szCs w:val="20"/>
          <w:color w:val="auto"/>
        </w:rPr>
      </w:pPr>
      <w:r>
        <w:rPr>
          <w:rFonts w:ascii="Times New Roman" w:cs="Times New Roman" w:eastAsia="Times New Roman" w:hAnsi="Times New Roman"/>
          <w:sz w:val="14"/>
          <w:szCs w:val="14"/>
          <w:color w:val="auto"/>
        </w:rPr>
        <w:t>Our by-laws also provide that we will indemnify our directors and officers. We are required to indemnify our directors and officers for all judgments, fines, settlements, legal fees and other expenses incurred in connection with pending, threatened or completed legal proceedings because of the director’s or officer’s position with Principal Financial Group, Inc.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the best interest of Principal Financial Group, Inc.</w:t>
      </w:r>
    </w:p>
    <w:p>
      <w:pPr>
        <w:spacing w:after="0" w:line="87" w:lineRule="exact"/>
        <w:rPr>
          <w:sz w:val="20"/>
          <w:szCs w:val="20"/>
          <w:color w:val="auto"/>
        </w:rPr>
      </w:pPr>
    </w:p>
    <w:p>
      <w:pPr>
        <w:ind w:left="1360" w:right="1519" w:firstLine="276"/>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Supermajority Voting Requirement for Amendment of Certain Provisions of our Certificate of Incorporation and By-Laws</w:t>
      </w:r>
      <w:r>
        <w:rPr>
          <w:rFonts w:ascii="Times New Roman" w:cs="Times New Roman" w:eastAsia="Times New Roman" w:hAnsi="Times New Roman"/>
          <w:sz w:val="14"/>
          <w:szCs w:val="14"/>
          <w:color w:val="auto"/>
        </w:rPr>
        <w:t>. The provisions of our certificate of incorporation governing, among other things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classified board, the director’s discretion in determining what he or she reasonably believes to be</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8" w:name="page69"/>
    <w:bookmarkEnd w:id="68"/>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39"/>
        <w:spacing w:after="0" w:line="251" w:lineRule="auto"/>
        <w:rPr>
          <w:sz w:val="20"/>
          <w:szCs w:val="20"/>
          <w:color w:val="auto"/>
        </w:rPr>
      </w:pPr>
      <w:r>
        <w:rPr>
          <w:rFonts w:ascii="Times New Roman" w:cs="Times New Roman" w:eastAsia="Times New Roman" w:hAnsi="Times New Roman"/>
          <w:sz w:val="14"/>
          <w:szCs w:val="14"/>
          <w:color w:val="auto"/>
        </w:rPr>
        <w:t>in the best interests of Principal Financial Group, Inc., the liability of directors and the elimination of stockholder actions by written consent may not be amended, altered or repealed unless the amendment is approved by the vote of holders of three-fourths of the shares then entitled to vote at an election of directors. This requirement exceeds the majority vote of the outstanding stock that would otherwise be required by the DGCL for the repeal or amendment of such provisions of the certificate of incorporation. Our by-laws may be amended by the board of directors or by the vote of holders of three-fourths of the shares then entitled to vote. These provisions make it more difficult for any person to remove or amend any provisions that have an antitakeover effect.</w:t>
      </w:r>
    </w:p>
    <w:p>
      <w:pPr>
        <w:spacing w:after="0" w:line="90" w:lineRule="exact"/>
        <w:rPr>
          <w:sz w:val="20"/>
          <w:szCs w:val="20"/>
          <w:color w:val="auto"/>
        </w:rPr>
      </w:pPr>
    </w:p>
    <w:p>
      <w:pPr>
        <w:ind w:left="1360" w:right="1479" w:firstLine="276"/>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Combination Statute. </w:t>
      </w:r>
      <w:r>
        <w:rPr>
          <w:rFonts w:ascii="Times New Roman" w:cs="Times New Roman" w:eastAsia="Times New Roman" w:hAnsi="Times New Roman"/>
          <w:sz w:val="14"/>
          <w:szCs w:val="14"/>
          <w:color w:val="auto"/>
        </w:rPr>
        <w:t>In addition, as a Delaware corporation, we are subject to Section 203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DGCL, unless we elect in our certificate of incorporation not to be governed by the provisions of Section 203. We have not made that election. Section 203 can affect the ability of an “interested stockholder” of Principal Financial Group, Inc. to engage in business combinations, such as mergers, consolidations or acquisitions of additional shares of Principal Financial Group, Inc., for a period of three years following the time that the stockholder becomes an “interested stockholder.” An “interested stockholder” is defined to include persons owning directly or indirectly 15% or more of the outstanding voting stock of a corporation. The provisions of Section 203 are not applicable in some circumstances, including those in which (a) the business combination or transaction which results in the stockholder becoming an “interested stockholder” is approved by the corporation’s board of directors prior to the time the stockholder becomes an “interested stockholder” or (b) the “interested stockholder,” upon consummation of such transaction, owns at least 85% of the voting stock of the corporation outstanding prior to such transaction.</w:t>
      </w:r>
    </w:p>
    <w:p>
      <w:pPr>
        <w:spacing w:after="0" w:line="3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Acquisitions of Securities</w:t>
      </w:r>
    </w:p>
    <w:p>
      <w:pPr>
        <w:spacing w:after="0" w:line="120" w:lineRule="exact"/>
        <w:rPr>
          <w:sz w:val="20"/>
          <w:szCs w:val="20"/>
          <w:color w:val="auto"/>
        </w:rPr>
      </w:pPr>
    </w:p>
    <w:p>
      <w:pPr>
        <w:ind w:left="1360" w:right="1399" w:firstLine="276"/>
        <w:spacing w:after="0" w:line="250" w:lineRule="auto"/>
        <w:rPr>
          <w:sz w:val="20"/>
          <w:szCs w:val="20"/>
          <w:color w:val="auto"/>
        </w:rPr>
      </w:pPr>
      <w:r>
        <w:rPr>
          <w:rFonts w:ascii="Times New Roman" w:cs="Times New Roman" w:eastAsia="Times New Roman" w:hAnsi="Times New Roman"/>
          <w:sz w:val="14"/>
          <w:szCs w:val="14"/>
          <w:color w:val="auto"/>
        </w:rPr>
        <w:t>State insurance laws and other related state laws could be a significant deterrent to any person interested in acquiring control of Principal Financial Group, Inc. The insurance holding company and other insurance laws of many states regulate changes of control of insurance holding companies, such as Principal Financial Group, Inc. A change of control is generally presumed upon acquisitions of 10% or more of voting securities. The Iowa and Arizona insurance holding company laws and other Delaware, Vermont and California laws and regulations, which are applicable to us, require filings in connection with proposed acquisitions of control of domestic insurance companies and other regulated entities. These insurance holding company laws and other laws and regulations prohibit a person from acquiring direct or indirect control of an insurer or other regulated entity incorporated in the relevant jurisdiction without prior regulatory approval.</w:t>
      </w:r>
    </w:p>
    <w:p>
      <w:pPr>
        <w:spacing w:after="0" w:line="31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Computershare Investor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9" w:name="page70"/>
    <w:bookmarkEnd w:id="69"/>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 Terms</w:t>
      </w:r>
    </w:p>
    <w:p>
      <w:pPr>
        <w:spacing w:after="0" w:line="120" w:lineRule="exact"/>
        <w:rPr>
          <w:sz w:val="20"/>
          <w:szCs w:val="20"/>
          <w:color w:val="auto"/>
        </w:rPr>
      </w:pPr>
    </w:p>
    <w:p>
      <w:pPr>
        <w:ind w:left="1360" w:right="1479" w:firstLine="276"/>
        <w:spacing w:after="0" w:line="246" w:lineRule="auto"/>
        <w:rPr>
          <w:sz w:val="20"/>
          <w:szCs w:val="20"/>
          <w:color w:val="auto"/>
        </w:rPr>
      </w:pPr>
      <w:r>
        <w:rPr>
          <w:rFonts w:ascii="Times New Roman" w:cs="Times New Roman" w:eastAsia="Times New Roman" w:hAnsi="Times New Roman"/>
          <w:sz w:val="14"/>
          <w:szCs w:val="14"/>
          <w:color w:val="auto"/>
        </w:rPr>
        <w:t>We may elect to offer depositary shares representing receipts for fractional interests in debt securities, junior subordinated debt securities or preferred stock. In this case, we will issue receipts for depositary shares, each of which will represent a fraction of a debt security, junior subordinated debt security or share of a particular series of preferred stock, as the case may be.</w:t>
      </w:r>
    </w:p>
    <w:p>
      <w:pPr>
        <w:spacing w:after="0" w:line="44" w:lineRule="exact"/>
        <w:rPr>
          <w:sz w:val="20"/>
          <w:szCs w:val="20"/>
          <w:color w:val="auto"/>
        </w:rPr>
      </w:pPr>
    </w:p>
    <w:p>
      <w:pPr>
        <w:ind w:left="1360" w:right="1379" w:firstLine="276"/>
        <w:spacing w:after="0"/>
        <w:rPr>
          <w:sz w:val="20"/>
          <w:szCs w:val="20"/>
          <w:color w:val="auto"/>
        </w:rPr>
      </w:pPr>
      <w:r>
        <w:rPr>
          <w:rFonts w:ascii="Times New Roman" w:cs="Times New Roman" w:eastAsia="Times New Roman" w:hAnsi="Times New Roman"/>
          <w:sz w:val="14"/>
          <w:szCs w:val="14"/>
          <w:color w:val="auto"/>
        </w:rPr>
        <w:t>We will deposit the debt securities, junior subordinated debt securities or shares of any series of preferred stock represented by depositary shares under a deposit agreement between us and a depositary, which we will name in the applicable prospectus supplement. Subject to the terms of the deposit agreement, as an owner of a depositary share, you will be entitled, in proportion to the applicable fraction of a debt security, junior subordinated debt security or share of preferred stock represented by the depositary share, to all the rights and preferences of the debt security, junior subordinated debt security or preferred stock, as the case may be, represented by the depositary share, including, as the case may be, interest, dividend, voting, conversion, redemption, sinking fund, repayment at maturity, subscription and liquidation rights.</w:t>
      </w:r>
    </w:p>
    <w:p>
      <w:pPr>
        <w:spacing w:after="0" w:line="47" w:lineRule="exact"/>
        <w:rPr>
          <w:sz w:val="20"/>
          <w:szCs w:val="20"/>
          <w:color w:val="auto"/>
        </w:rPr>
      </w:pPr>
    </w:p>
    <w:p>
      <w:pPr>
        <w:ind w:left="1360" w:right="1379" w:firstLine="276"/>
        <w:spacing w:after="0" w:line="242" w:lineRule="auto"/>
        <w:rPr>
          <w:sz w:val="20"/>
          <w:szCs w:val="20"/>
          <w:color w:val="auto"/>
        </w:rPr>
      </w:pPr>
      <w:r>
        <w:rPr>
          <w:rFonts w:ascii="Times New Roman" w:cs="Times New Roman" w:eastAsia="Times New Roman" w:hAnsi="Times New Roman"/>
          <w:sz w:val="14"/>
          <w:szCs w:val="14"/>
          <w:color w:val="auto"/>
        </w:rPr>
        <w:t>The following description of the terms of the deposit agreement is a summary. It summarizes only those terms of the deposit agreement that we believe will be most important to your decision to invest in our depositary shares. You should keep in mind, however, that it is the deposit agreement, and not this summary, which defines your rights as a holder of depositary shares. There may be other provisions in the deposit agreement that are also important to you. You should read the deposit agreement for a full description of the terms of the depositary shares. The form of the deposit agreement is filed as an exhibit to the registration statement that includes this prospectus. See “Where You Can Find More Information” for information on how to obtain a copy of the deposit agreement.</w:t>
      </w:r>
    </w:p>
    <w:p>
      <w:pPr>
        <w:spacing w:after="0" w:line="1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Interest, Dividends and Other Distributions</w:t>
      </w:r>
    </w:p>
    <w:p>
      <w:pPr>
        <w:spacing w:after="0" w:line="79" w:lineRule="exact"/>
        <w:rPr>
          <w:sz w:val="20"/>
          <w:szCs w:val="20"/>
          <w:color w:val="auto"/>
        </w:rPr>
      </w:pPr>
    </w:p>
    <w:p>
      <w:pPr>
        <w:ind w:left="1360" w:right="1419" w:firstLine="276"/>
        <w:spacing w:after="0" w:line="246" w:lineRule="auto"/>
        <w:rPr>
          <w:sz w:val="20"/>
          <w:szCs w:val="20"/>
          <w:color w:val="auto"/>
        </w:rPr>
      </w:pPr>
      <w:r>
        <w:rPr>
          <w:rFonts w:ascii="Times New Roman" w:cs="Times New Roman" w:eastAsia="Times New Roman" w:hAnsi="Times New Roman"/>
          <w:sz w:val="14"/>
          <w:szCs w:val="14"/>
          <w:color w:val="auto"/>
        </w:rPr>
        <w:t>The depositary will distribute all payments of interest, cash dividends or other cash distributions received on the debt securities, junior subordinated debt securities or preferred stock, as the case may be, to you in proportion to the number of depositary shares that you own.</w:t>
      </w:r>
    </w:p>
    <w:p>
      <w:pPr>
        <w:spacing w:after="0" w:line="43" w:lineRule="exact"/>
        <w:rPr>
          <w:sz w:val="20"/>
          <w:szCs w:val="20"/>
          <w:color w:val="auto"/>
        </w:rPr>
      </w:pPr>
    </w:p>
    <w:p>
      <w:pPr>
        <w:jc w:val="both"/>
        <w:ind w:left="1360" w:right="1419" w:firstLine="276"/>
        <w:spacing w:after="0" w:line="254" w:lineRule="auto"/>
        <w:rPr>
          <w:sz w:val="20"/>
          <w:szCs w:val="20"/>
          <w:color w:val="auto"/>
        </w:rPr>
      </w:pPr>
      <w:r>
        <w:rPr>
          <w:rFonts w:ascii="Times New Roman" w:cs="Times New Roman" w:eastAsia="Times New Roman" w:hAnsi="Times New Roman"/>
          <w:sz w:val="14"/>
          <w:szCs w:val="14"/>
          <w:color w:val="auto"/>
        </w:rPr>
        <w:t>In the event of a distribution other than in cash, the depositary will distribute property received by it to you in an equitable manner, unless the depositary determines that it is not feasible to make a distribution. In that case the depositary may sell the property and distribute the net proceeds from the sale to you.</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79" w:lineRule="exact"/>
        <w:rPr>
          <w:sz w:val="20"/>
          <w:szCs w:val="20"/>
          <w:color w:val="auto"/>
        </w:rPr>
      </w:pPr>
    </w:p>
    <w:p>
      <w:pPr>
        <w:ind w:left="1360" w:right="1399" w:firstLine="276"/>
        <w:spacing w:after="0" w:line="239" w:lineRule="auto"/>
        <w:rPr>
          <w:sz w:val="20"/>
          <w:szCs w:val="20"/>
          <w:color w:val="auto"/>
        </w:rPr>
      </w:pPr>
      <w:r>
        <w:rPr>
          <w:rFonts w:ascii="Times New Roman" w:cs="Times New Roman" w:eastAsia="Times New Roman" w:hAnsi="Times New Roman"/>
          <w:sz w:val="14"/>
          <w:szCs w:val="14"/>
          <w:color w:val="auto"/>
        </w:rPr>
        <w:t>If we redeem a debt security, junior subordinated debt security or series of preferred stock represented by depositary shares, the depositary will redeem your depositary shares from the proceeds received by the depositary resulting from the redemption. The redemption price per depositary share will be equal to the applicable fraction of the redemption price per debt security, junior subordinated debt security or share of preferred stock, as the case may be, payable in relation to the redeemed series of debt securities, junior subordinated debt securities or preferred stock. Whenever we redeem debt securities, junior subordinated debt securities or shares of preferred stock held by the depositary, the depositary will redeem as of the same redemption date the number of depositary shares representing, as the case may be, the debt securities, junior subordinated debt securities or shares of preferred stock redeemed. If fewer than all the depositary shares are to be redeemed, the depositary shares to be redeemed will be selected by lot, proportionately or by any other equitable method as the depositary may determine.</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Exercise of Rights under the Indentures or Voting the Preferred Stock</w:t>
      </w:r>
    </w:p>
    <w:p>
      <w:pPr>
        <w:spacing w:after="0" w:line="79" w:lineRule="exact"/>
        <w:rPr>
          <w:sz w:val="20"/>
          <w:szCs w:val="20"/>
          <w:color w:val="auto"/>
        </w:rPr>
      </w:pPr>
    </w:p>
    <w:p>
      <w:pPr>
        <w:ind w:left="1360" w:right="1419" w:firstLine="276"/>
        <w:spacing w:after="0" w:line="241" w:lineRule="auto"/>
        <w:rPr>
          <w:sz w:val="20"/>
          <w:szCs w:val="20"/>
          <w:color w:val="auto"/>
        </w:rPr>
      </w:pPr>
      <w:r>
        <w:rPr>
          <w:rFonts w:ascii="Times New Roman" w:cs="Times New Roman" w:eastAsia="Times New Roman" w:hAnsi="Times New Roman"/>
          <w:sz w:val="14"/>
          <w:szCs w:val="14"/>
          <w:color w:val="auto"/>
        </w:rPr>
        <w:t>Upon receipt of notice of any meeting at which you, as a holder of interests, in deposited preferred stock, are entitled to vote, or of any request for instructions or directions from you, as a holder of interests in deposited debt securities or junior subordinated debt securities, the depositary will mail to you the information contained in that notice. Each record holder of the depositary shares on the record date will be entitled to instruct the depositary how to give instructions or directions with respect to the debt securities or junior subordinated debt securities represented by that holder’s depositary shares or how to vote the amount of the preferred stock represented by that holder’s depositary shares. The record date for the</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0" w:name="page71"/>
    <w:bookmarkEnd w:id="70"/>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59"/>
        <w:spacing w:after="0" w:line="251" w:lineRule="auto"/>
        <w:rPr>
          <w:sz w:val="20"/>
          <w:szCs w:val="20"/>
          <w:color w:val="auto"/>
        </w:rPr>
      </w:pPr>
      <w:r>
        <w:rPr>
          <w:rFonts w:ascii="Times New Roman" w:cs="Times New Roman" w:eastAsia="Times New Roman" w:hAnsi="Times New Roman"/>
          <w:sz w:val="14"/>
          <w:szCs w:val="14"/>
          <w:color w:val="auto"/>
        </w:rPr>
        <w:t>depositary shares will be the same date as the record date for the debt securities, junior subordinated debt securities or preferred stock, as the case may be. The depositary will endeavor, to the extent practicable, to give instructions or directions with respect to the debt securities or junior subordinated debt securities or to vote the amount of the preferred stock, as the case may be, represented by the depositary shares in accordance with those instructions. We will agree to take all reasonable action which the depositary may deem necessary to enable the depositary to do so. The depositary will abstain from giving instructions or directions with respect to the debt securities or junior subordinated debt securities or voting shares of the preferred stock, as the case may be, if it does not receive specific instructions from you.</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Amendment and Termination of the Deposit Agreement</w:t>
      </w:r>
    </w:p>
    <w:p>
      <w:pPr>
        <w:spacing w:after="0" w:line="79" w:lineRule="exact"/>
        <w:rPr>
          <w:sz w:val="20"/>
          <w:szCs w:val="20"/>
          <w:color w:val="auto"/>
        </w:rPr>
      </w:pPr>
    </w:p>
    <w:p>
      <w:pPr>
        <w:ind w:left="1360" w:right="1419" w:firstLine="276"/>
        <w:spacing w:after="0" w:line="256" w:lineRule="auto"/>
        <w:rPr>
          <w:sz w:val="20"/>
          <w:szCs w:val="20"/>
          <w:color w:val="auto"/>
        </w:rPr>
      </w:pPr>
      <w:r>
        <w:rPr>
          <w:rFonts w:ascii="Times New Roman" w:cs="Times New Roman" w:eastAsia="Times New Roman" w:hAnsi="Times New Roman"/>
          <w:sz w:val="14"/>
          <w:szCs w:val="14"/>
          <w:color w:val="auto"/>
        </w:rPr>
        <w:t>We and the depositary may amend the form of depositary receipt evidencing the depositary shares and any provision of the deposit agreement at any time. However, any amendment which materially and adversely alters the rights of the holders of the depositary shares will not be effective unless the amendment has been approved by the holders of at least a majority of the depositary shares then outstanding.</w:t>
      </w:r>
    </w:p>
    <w:p>
      <w:pPr>
        <w:spacing w:after="0" w:line="8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deposit agreement will terminate if:</w:t>
      </w:r>
    </w:p>
    <w:p>
      <w:pPr>
        <w:spacing w:after="0" w:line="87" w:lineRule="exact"/>
        <w:rPr>
          <w:sz w:val="20"/>
          <w:szCs w:val="20"/>
          <w:color w:val="auto"/>
        </w:rPr>
      </w:pPr>
    </w:p>
    <w:p>
      <w:pPr>
        <w:ind w:left="1780" w:hanging="147"/>
        <w:spacing w:after="0"/>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depositary shares have been redeemed, or</w:t>
      </w:r>
    </w:p>
    <w:p>
      <w:pPr>
        <w:spacing w:after="0" w:line="87" w:lineRule="exact"/>
        <w:rPr>
          <w:rFonts w:ascii="Times New Roman" w:cs="Times New Roman" w:eastAsia="Times New Roman" w:hAnsi="Times New Roman"/>
          <w:sz w:val="14"/>
          <w:szCs w:val="14"/>
          <w:color w:val="auto"/>
        </w:rPr>
      </w:pPr>
    </w:p>
    <w:p>
      <w:pPr>
        <w:ind w:left="1780" w:right="1379" w:hanging="147"/>
        <w:spacing w:after="0" w:line="256" w:lineRule="auto"/>
        <w:tabs>
          <w:tab w:leader="none" w:pos="17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complete repayment or redemption of the debt securities or junior subordinated debt securities or a final distribution in respect of the preferred stock, including in connection with our liquidation, dissolution or winding up, and the repayment, redemption or distribution proceeds, as the case may be, have been distributed to you.</w:t>
      </w:r>
    </w:p>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Resignation and Removal of Depositary</w:t>
      </w:r>
    </w:p>
    <w:p>
      <w:pPr>
        <w:spacing w:after="0" w:line="69" w:lineRule="exact"/>
        <w:rPr>
          <w:sz w:val="20"/>
          <w:szCs w:val="20"/>
          <w:color w:val="auto"/>
        </w:rPr>
      </w:pPr>
    </w:p>
    <w:p>
      <w:pPr>
        <w:ind w:left="1360" w:right="1499" w:firstLine="276"/>
        <w:spacing w:after="0" w:line="252" w:lineRule="auto"/>
        <w:rPr>
          <w:sz w:val="20"/>
          <w:szCs w:val="20"/>
          <w:color w:val="auto"/>
        </w:rPr>
      </w:pPr>
      <w:r>
        <w:rPr>
          <w:rFonts w:ascii="Times New Roman" w:cs="Times New Roman" w:eastAsia="Times New Roman" w:hAnsi="Times New Roman"/>
          <w:sz w:val="14"/>
          <w:szCs w:val="14"/>
          <w:color w:val="auto"/>
        </w:rPr>
        <w:t>The depositary may resign at any time by delivering to us notice of its election to do so. We also may, at any time, remove the depositary. Any resignation or removal will take effect upon the appointment of a successor depositary and its acceptance of such appointment. We must appoint the successor depositary within 60 days after delivery of the notice of resignation or removal. The successor depositary must be a bank or trust company having its principal office in the United States and having a combined capital and surplus of at least $50,000,000.</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Charges of Depositary</w:t>
      </w:r>
    </w:p>
    <w:p>
      <w:pPr>
        <w:spacing w:after="0" w:line="79" w:lineRule="exact"/>
        <w:rPr>
          <w:sz w:val="20"/>
          <w:szCs w:val="20"/>
          <w:color w:val="auto"/>
        </w:rPr>
      </w:pPr>
    </w:p>
    <w:p>
      <w:pPr>
        <w:ind w:left="1360" w:right="1459" w:firstLine="276"/>
        <w:spacing w:after="0" w:line="251" w:lineRule="auto"/>
        <w:rPr>
          <w:sz w:val="20"/>
          <w:szCs w:val="20"/>
          <w:color w:val="auto"/>
        </w:rPr>
      </w:pPr>
      <w:r>
        <w:rPr>
          <w:rFonts w:ascii="Times New Roman" w:cs="Times New Roman" w:eastAsia="Times New Roman" w:hAnsi="Times New Roman"/>
          <w:sz w:val="14"/>
          <w:szCs w:val="14"/>
          <w:color w:val="auto"/>
        </w:rPr>
        <w:t>We will pay all transfer and other taxes and governmental charges arising solely from the existence of the depositary arrangements. We will pay charges of the depositary in connection with the initial deposit of the debt securities, junior subordinated debt securities or preferred stock, as the case may be, and issuance of depositary receipts, all withdrawals of shares of debt securities, junior subordinated debt securities or preferred stock, as the case may be, by you and any repayment or redemption of the debt securities, junior subordinated debt securities or preferred stock, as the case may be. You will pay other transfer and other taxes and governmental charges, as well as the other charges that are expressly provided in the deposit agreement to be for your account.</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79" w:lineRule="exact"/>
        <w:rPr>
          <w:sz w:val="20"/>
          <w:szCs w:val="20"/>
          <w:color w:val="auto"/>
        </w:rPr>
      </w:pPr>
    </w:p>
    <w:p>
      <w:pPr>
        <w:ind w:left="1360" w:right="1459" w:firstLine="276"/>
        <w:spacing w:after="0" w:line="261" w:lineRule="auto"/>
        <w:rPr>
          <w:sz w:val="20"/>
          <w:szCs w:val="20"/>
          <w:color w:val="auto"/>
        </w:rPr>
      </w:pPr>
      <w:r>
        <w:rPr>
          <w:rFonts w:ascii="Times New Roman" w:cs="Times New Roman" w:eastAsia="Times New Roman" w:hAnsi="Times New Roman"/>
          <w:sz w:val="14"/>
          <w:szCs w:val="14"/>
          <w:color w:val="auto"/>
        </w:rPr>
        <w:t>The depositary will forward all reports and communications from us which are delivered to the depositary and which we are required or otherwise determine to furnish to holders of debt securities, junior subordinated debt securities or preferred stock, as the case may be.</w:t>
      </w:r>
    </w:p>
    <w:p>
      <w:pPr>
        <w:spacing w:after="0" w:line="34" w:lineRule="exact"/>
        <w:rPr>
          <w:sz w:val="20"/>
          <w:szCs w:val="20"/>
          <w:color w:val="auto"/>
        </w:rPr>
      </w:pPr>
    </w:p>
    <w:p>
      <w:pPr>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Neither we nor the depositary will be liable under the deposit agreement to you other than for the depositary’s gross negligence, willful misconduct or bad faith. Neither we nor the depositary will be obligated to prosecute or defend any legal proceedings relating to any depositary shares, debt securities, junior subordinated debt securities or preferred stock unless satisfactory indemnity is furnished. We and the depositary may rely upon written advice of counsel or accountants, or upon information provided by persons presenting debt securities, junior subordinated debt securities or shares of preferred stock for deposit, you or other persons believed to be competent and on documents which we and the depositary believe to be genuine.</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1" w:name="page72"/>
    <w:bookmarkEnd w:id="71"/>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79" w:lineRule="exact"/>
        <w:rPr>
          <w:sz w:val="20"/>
          <w:szCs w:val="20"/>
          <w:color w:val="auto"/>
        </w:rPr>
      </w:pPr>
    </w:p>
    <w:p>
      <w:pPr>
        <w:ind w:left="1360" w:right="1399" w:firstLine="276"/>
        <w:spacing w:after="0" w:line="241" w:lineRule="auto"/>
        <w:rPr>
          <w:sz w:val="20"/>
          <w:szCs w:val="20"/>
          <w:color w:val="auto"/>
        </w:rPr>
      </w:pPr>
      <w:r>
        <w:rPr>
          <w:rFonts w:ascii="Times New Roman" w:cs="Times New Roman" w:eastAsia="Times New Roman" w:hAnsi="Times New Roman"/>
          <w:sz w:val="14"/>
          <w:szCs w:val="14"/>
          <w:color w:val="auto"/>
        </w:rPr>
        <w:t>We may issue warrants, including warrants to purchase debt securities, junior subordinated debt securities, preferred stock, common stock or other securities, property or assets (including rights to receive payment in cash or securities based on the value, rate or price of one or more specified commodities, currencies, securities or indices) as well as other types of warrants. We may issue warrants independently or together with any other securities, and they may be attached to or separate from those securities. We will issue the warrants under warrant agreements between us and a bank or trust company, as warrant agent, that we will describe in the prospectus supplement relating to the warrants that we offer.</w:t>
      </w:r>
    </w:p>
    <w:p>
      <w:pPr>
        <w:spacing w:after="0" w:line="48" w:lineRule="exact"/>
        <w:rPr>
          <w:sz w:val="20"/>
          <w:szCs w:val="20"/>
          <w:color w:val="auto"/>
        </w:rPr>
      </w:pPr>
    </w:p>
    <w:p>
      <w:pPr>
        <w:ind w:left="1360" w:right="1419" w:firstLine="276"/>
        <w:spacing w:after="0"/>
        <w:rPr>
          <w:sz w:val="20"/>
          <w:szCs w:val="20"/>
          <w:color w:val="auto"/>
        </w:rPr>
      </w:pPr>
      <w:r>
        <w:rPr>
          <w:rFonts w:ascii="Times New Roman" w:cs="Times New Roman" w:eastAsia="Times New Roman" w:hAnsi="Times New Roman"/>
          <w:sz w:val="14"/>
          <w:szCs w:val="14"/>
          <w:color w:val="auto"/>
        </w:rPr>
        <w:t>The following description of the terms of the warrants is a summary. It summarizes only those terms of the warrants and the warrant agreement which we believe will be most important to your decision to invest in our warrants. You should keep in mind, however, that it is the warrant agreement and the warrant certificate relating to the warrants, and not this summary, which defines your rights as a warrantholder. There may be other provisions in the warrant agreement and the warrant certificate relating to the warrants which are also important to you. You should read these documents for a full description of the terms of the warrants. Forms of these documents are filed as exhibits to the registration statement that includes this prospectus. See “Where You Can Find More Information” for information on how to obtain copies of these documents.</w:t>
      </w:r>
    </w:p>
    <w:p>
      <w:pPr>
        <w:spacing w:after="0" w:line="3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Debt Warrants</w:t>
      </w:r>
    </w:p>
    <w:p>
      <w:pPr>
        <w:spacing w:after="0" w:line="79" w:lineRule="exact"/>
        <w:rPr>
          <w:sz w:val="20"/>
          <w:szCs w:val="20"/>
          <w:color w:val="auto"/>
        </w:rPr>
      </w:pPr>
    </w:p>
    <w:p>
      <w:pPr>
        <w:ind w:left="1360" w:right="1379" w:firstLine="276"/>
        <w:spacing w:after="0" w:line="246" w:lineRule="auto"/>
        <w:rPr>
          <w:sz w:val="20"/>
          <w:szCs w:val="20"/>
          <w:color w:val="auto"/>
        </w:rPr>
      </w:pPr>
      <w:r>
        <w:rPr>
          <w:rFonts w:ascii="Times New Roman" w:cs="Times New Roman" w:eastAsia="Times New Roman" w:hAnsi="Times New Roman"/>
          <w:sz w:val="14"/>
          <w:szCs w:val="14"/>
          <w:color w:val="auto"/>
        </w:rPr>
        <w:t>We will describe in the applicable prospectus supplement the terms of warrants to purchase debt securities or junior subordinated debt securities that we may offer, the warrant agreement relating to the debt warrants and the warrant certificates representing the debt warrants. These terms will include the following:</w:t>
      </w:r>
    </w:p>
    <w:p>
      <w:pPr>
        <w:spacing w:after="0" w:line="54" w:lineRule="exact"/>
        <w:rPr>
          <w:sz w:val="20"/>
          <w:szCs w:val="20"/>
          <w:color w:val="auto"/>
        </w:rPr>
      </w:pPr>
    </w:p>
    <w:p>
      <w:pPr>
        <w:ind w:left="1780" w:hanging="1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warrants,</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securities for which the debt warrants are exercisable,</w:t>
      </w:r>
    </w:p>
    <w:p>
      <w:pPr>
        <w:spacing w:after="0" w:line="8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the debt warrants,</w:t>
      </w:r>
    </w:p>
    <w:p>
      <w:pPr>
        <w:spacing w:after="0" w:line="77" w:lineRule="exact"/>
        <w:rPr>
          <w:rFonts w:ascii="Times New Roman" w:cs="Times New Roman" w:eastAsia="Times New Roman" w:hAnsi="Times New Roman"/>
          <w:sz w:val="14"/>
          <w:szCs w:val="14"/>
          <w:color w:val="auto"/>
        </w:rPr>
      </w:pPr>
    </w:p>
    <w:p>
      <w:pPr>
        <w:ind w:left="1780" w:right="1539" w:hanging="147"/>
        <w:spacing w:after="0" w:line="261" w:lineRule="auto"/>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we will issue the debt warrants, the principal amount of debt securities that you may purchase upon exercise of each debt warrant and the price or prices at which such principal amount may be purchased upon exercise,</w:t>
      </w:r>
    </w:p>
    <w:p>
      <w:pPr>
        <w:spacing w:after="0" w:line="54" w:lineRule="exact"/>
        <w:rPr>
          <w:rFonts w:ascii="Times New Roman" w:cs="Times New Roman" w:eastAsia="Times New Roman" w:hAnsi="Times New Roman"/>
          <w:sz w:val="14"/>
          <w:szCs w:val="14"/>
          <w:color w:val="auto"/>
        </w:rPr>
      </w:pPr>
    </w:p>
    <w:p>
      <w:pPr>
        <w:ind w:left="1780" w:right="1459" w:hanging="147"/>
        <w:spacing w:after="0" w:line="276" w:lineRule="auto"/>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currencies, or currency units, if other than in U.S. dollars, in which such debt warrants are to be issued or for which the debt warrants may be exercised,</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and conditions relating to the exercise of the debt warrants,</w:t>
      </w:r>
    </w:p>
    <w:p>
      <w:pPr>
        <w:spacing w:after="0" w:line="87" w:lineRule="exact"/>
        <w:rPr>
          <w:rFonts w:ascii="Times New Roman" w:cs="Times New Roman" w:eastAsia="Times New Roman" w:hAnsi="Times New Roman"/>
          <w:sz w:val="14"/>
          <w:szCs w:val="14"/>
          <w:color w:val="auto"/>
        </w:rPr>
      </w:pPr>
    </w:p>
    <w:p>
      <w:pPr>
        <w:ind w:left="1780" w:right="1379" w:hanging="147"/>
        <w:spacing w:after="0" w:line="261" w:lineRule="auto"/>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related debt securities or junior subordinated debt securities and any guarantee issued with the debt warrants, and the number of debt warrants issued with each debt security or junior subordinated debt security,</w:t>
      </w:r>
    </w:p>
    <w:p>
      <w:pPr>
        <w:spacing w:after="0" w:line="4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from which you may separately transfer the debt warrants and the related securities,</w:t>
      </w:r>
    </w:p>
    <w:p>
      <w:pPr>
        <w:spacing w:after="0" w:line="87" w:lineRule="exact"/>
        <w:rPr>
          <w:rFonts w:ascii="Times New Roman" w:cs="Times New Roman" w:eastAsia="Times New Roman" w:hAnsi="Times New Roman"/>
          <w:sz w:val="14"/>
          <w:szCs w:val="14"/>
          <w:color w:val="auto"/>
        </w:rPr>
      </w:pPr>
    </w:p>
    <w:p>
      <w:pPr>
        <w:ind w:left="1780" w:right="1559" w:hanging="147"/>
        <w:spacing w:after="0" w:line="276" w:lineRule="auto"/>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your right to exercise the debt warrants commences, and the date on which your right expires,</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or minimum number of the debt warrants which you may exercise at any time,</w:t>
      </w:r>
    </w:p>
    <w:p>
      <w:pPr>
        <w:spacing w:after="0" w:line="77"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United States federal income tax considerations,</w:t>
      </w:r>
    </w:p>
    <w:p>
      <w:pPr>
        <w:spacing w:after="0" w:line="87" w:lineRule="exact"/>
        <w:rPr>
          <w:rFonts w:ascii="Times New Roman" w:cs="Times New Roman" w:eastAsia="Times New Roman" w:hAnsi="Times New Roman"/>
          <w:sz w:val="14"/>
          <w:szCs w:val="14"/>
          <w:color w:val="auto"/>
        </w:rPr>
      </w:pPr>
    </w:p>
    <w:p>
      <w:pPr>
        <w:ind w:left="1780" w:right="1499" w:hanging="147"/>
        <w:spacing w:after="0" w:line="276" w:lineRule="auto"/>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warrants and terms, procedures and limitations relating to your exercise of the debt warrants, and</w:t>
      </w:r>
    </w:p>
    <w:p>
      <w:pPr>
        <w:spacing w:after="0" w:line="4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you may purchase upon exercise of the debt warrants.</w:t>
      </w:r>
    </w:p>
    <w:p>
      <w:pPr>
        <w:spacing w:after="0" w:line="77" w:lineRule="exact"/>
        <w:rPr>
          <w:sz w:val="20"/>
          <w:szCs w:val="20"/>
          <w:color w:val="auto"/>
        </w:rPr>
      </w:pPr>
    </w:p>
    <w:p>
      <w:pPr>
        <w:ind w:left="1360" w:right="1419" w:firstLine="276"/>
        <w:spacing w:after="0"/>
        <w:rPr>
          <w:sz w:val="20"/>
          <w:szCs w:val="20"/>
          <w:color w:val="auto"/>
        </w:rPr>
      </w:pPr>
      <w:r>
        <w:rPr>
          <w:rFonts w:ascii="Times New Roman" w:cs="Times New Roman" w:eastAsia="Times New Roman" w:hAnsi="Times New Roman"/>
          <w:sz w:val="14"/>
          <w:szCs w:val="14"/>
          <w:color w:val="auto"/>
        </w:rPr>
        <w:t>We will also describe in the applicable prospectus supplement any provisions for a change in the exercise price or expiration date of the warrants and the kind, frequency and timing of any notice to be given. You may exchange debt warrant certificates for new debt warrant certificates of different denominations and may exercise debt warrants at the corporate trust office of the warrant agent or any other office that we indicate in the applicable prospectus supplement. Prior to exercise, you will not have any of the rights of</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2" w:name="page73"/>
    <w:bookmarkEnd w:id="72"/>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60" w:right="1479"/>
        <w:spacing w:after="0" w:line="254" w:lineRule="auto"/>
        <w:rPr>
          <w:sz w:val="20"/>
          <w:szCs w:val="20"/>
          <w:color w:val="auto"/>
        </w:rPr>
      </w:pPr>
      <w:r>
        <w:rPr>
          <w:rFonts w:ascii="Times New Roman" w:cs="Times New Roman" w:eastAsia="Times New Roman" w:hAnsi="Times New Roman"/>
          <w:sz w:val="14"/>
          <w:szCs w:val="14"/>
          <w:color w:val="auto"/>
        </w:rPr>
        <w:t>holders of the debt securities or junior subordinated debt securities purchasable upon that exercise and will not be entitled to payments of principal, premium, if any, or interest on the debt securities or junior subordinated debt securities purchasable upon the exercise.</w:t>
      </w:r>
    </w:p>
    <w:p>
      <w:pPr>
        <w:spacing w:after="0" w:line="1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Other Warrants</w:t>
      </w:r>
    </w:p>
    <w:p>
      <w:pPr>
        <w:spacing w:after="0" w:line="79" w:lineRule="exact"/>
        <w:rPr>
          <w:sz w:val="20"/>
          <w:szCs w:val="20"/>
          <w:color w:val="auto"/>
        </w:rPr>
      </w:pPr>
    </w:p>
    <w:p>
      <w:pPr>
        <w:ind w:left="1360" w:right="1519" w:firstLine="276"/>
        <w:spacing w:after="0" w:line="261" w:lineRule="auto"/>
        <w:rPr>
          <w:sz w:val="20"/>
          <w:szCs w:val="20"/>
          <w:color w:val="auto"/>
        </w:rPr>
      </w:pPr>
      <w:r>
        <w:rPr>
          <w:rFonts w:ascii="Times New Roman" w:cs="Times New Roman" w:eastAsia="Times New Roman" w:hAnsi="Times New Roman"/>
          <w:sz w:val="14"/>
          <w:szCs w:val="14"/>
          <w:color w:val="auto"/>
        </w:rPr>
        <w:t>We may issue other warrants. We will describe in the applicable prospectus supplement the following terms of those warrants:</w:t>
      </w:r>
    </w:p>
    <w:p>
      <w:pPr>
        <w:spacing w:after="0" w:line="33" w:lineRule="exact"/>
        <w:rPr>
          <w:sz w:val="20"/>
          <w:szCs w:val="20"/>
          <w:color w:val="auto"/>
        </w:rPr>
      </w:pPr>
    </w:p>
    <w:p>
      <w:pPr>
        <w:ind w:left="1780" w:hanging="147"/>
        <w:spacing w:after="0"/>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77" w:lineRule="exact"/>
        <w:rPr>
          <w:rFonts w:ascii="Times New Roman" w:cs="Times New Roman" w:eastAsia="Times New Roman" w:hAnsi="Times New Roman"/>
          <w:sz w:val="14"/>
          <w:szCs w:val="14"/>
          <w:color w:val="auto"/>
        </w:rPr>
      </w:pPr>
    </w:p>
    <w:p>
      <w:pPr>
        <w:ind w:left="1780" w:right="1379" w:hanging="147"/>
        <w:spacing w:after="0" w:line="258" w:lineRule="auto"/>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which may include preferred stock, common stock or other securities, property or assets (including rights to receive payment in cash or securities based on the value, rate or price of one or more specified commodities, currencies, securities or indices), for which you may exercise the warrants,</w:t>
      </w:r>
    </w:p>
    <w:p>
      <w:pPr>
        <w:spacing w:after="0" w:line="205"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the warrants,</w:t>
      </w:r>
    </w:p>
    <w:p>
      <w:pPr>
        <w:spacing w:after="0" w:line="77" w:lineRule="exact"/>
        <w:rPr>
          <w:rFonts w:ascii="Times New Roman" w:cs="Times New Roman" w:eastAsia="Times New Roman" w:hAnsi="Times New Roman"/>
          <w:sz w:val="14"/>
          <w:szCs w:val="14"/>
          <w:color w:val="auto"/>
        </w:rPr>
      </w:pPr>
    </w:p>
    <w:p>
      <w:pPr>
        <w:ind w:left="1780" w:right="1539" w:hanging="147"/>
        <w:spacing w:after="0" w:line="261" w:lineRule="auto"/>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we will issue the warrants, the number of securities or amount of other property or assets that you may purchase upon exercise of each warrant and the price or prices at which such securities, property or assets may be purchased,</w:t>
      </w:r>
    </w:p>
    <w:p>
      <w:pPr>
        <w:spacing w:after="0" w:line="44" w:lineRule="exact"/>
        <w:rPr>
          <w:rFonts w:ascii="Times New Roman" w:cs="Times New Roman" w:eastAsia="Times New Roman" w:hAnsi="Times New Roman"/>
          <w:sz w:val="14"/>
          <w:szCs w:val="14"/>
          <w:color w:val="auto"/>
        </w:rPr>
      </w:pPr>
    </w:p>
    <w:p>
      <w:pPr>
        <w:ind w:left="1780" w:right="1459" w:hanging="147"/>
        <w:spacing w:after="0" w:line="276" w:lineRule="auto"/>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currencies, or currency units, if other than in U.S. dollars, in which such debt warrants are to be issued or for which the debt warrants may be exercised,</w:t>
      </w:r>
    </w:p>
    <w:p>
      <w:pPr>
        <w:spacing w:after="0" w:line="2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and conditions relating to the exercise of the warrants,</w:t>
      </w:r>
    </w:p>
    <w:p>
      <w:pPr>
        <w:spacing w:after="0" w:line="77" w:lineRule="exact"/>
        <w:rPr>
          <w:rFonts w:ascii="Times New Roman" w:cs="Times New Roman" w:eastAsia="Times New Roman" w:hAnsi="Times New Roman"/>
          <w:sz w:val="14"/>
          <w:szCs w:val="14"/>
          <w:color w:val="auto"/>
        </w:rPr>
      </w:pPr>
    </w:p>
    <w:p>
      <w:pPr>
        <w:ind w:left="1780" w:right="1779" w:hanging="147"/>
        <w:spacing w:after="0" w:line="276" w:lineRule="auto"/>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related securities issued with the warrants, and the number of warrants issued with each security,</w:t>
      </w:r>
    </w:p>
    <w:p>
      <w:pPr>
        <w:spacing w:after="0" w:line="2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from which you may separately transfer the warrants and the related securities,</w:t>
      </w:r>
    </w:p>
    <w:p>
      <w:pPr>
        <w:spacing w:after="0" w:line="77" w:lineRule="exact"/>
        <w:rPr>
          <w:rFonts w:ascii="Times New Roman" w:cs="Times New Roman" w:eastAsia="Times New Roman" w:hAnsi="Times New Roman"/>
          <w:sz w:val="14"/>
          <w:szCs w:val="14"/>
          <w:color w:val="auto"/>
        </w:rPr>
      </w:pPr>
    </w:p>
    <w:p>
      <w:pPr>
        <w:ind w:left="1780" w:right="1539" w:hanging="147"/>
        <w:spacing w:after="0" w:line="276" w:lineRule="auto"/>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your right to exercise the warrants commences, and the date on which your right expires,</w:t>
      </w:r>
    </w:p>
    <w:p>
      <w:pPr>
        <w:spacing w:after="0" w:line="33"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or minimum number of warrants which you may exercise at any time,</w:t>
      </w:r>
    </w:p>
    <w:p>
      <w:pPr>
        <w:spacing w:after="0" w:line="66"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United States federal income tax considerations, and</w:t>
      </w:r>
    </w:p>
    <w:p>
      <w:pPr>
        <w:spacing w:after="0" w:line="77" w:lineRule="exact"/>
        <w:rPr>
          <w:rFonts w:ascii="Times New Roman" w:cs="Times New Roman" w:eastAsia="Times New Roman" w:hAnsi="Times New Roman"/>
          <w:sz w:val="14"/>
          <w:szCs w:val="14"/>
          <w:color w:val="auto"/>
        </w:rPr>
      </w:pPr>
    </w:p>
    <w:p>
      <w:pPr>
        <w:ind w:left="1780" w:right="1919" w:hanging="147"/>
        <w:spacing w:after="0" w:line="276" w:lineRule="auto"/>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warrants, including terms, procedures and limitations relating to your exchange and exercise of the warrants.</w:t>
      </w:r>
    </w:p>
    <w:p>
      <w:pPr>
        <w:spacing w:after="0" w:line="33" w:lineRule="exact"/>
        <w:rPr>
          <w:sz w:val="20"/>
          <w:szCs w:val="20"/>
          <w:color w:val="auto"/>
        </w:rPr>
      </w:pPr>
    </w:p>
    <w:p>
      <w:pPr>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We will also describe in the applicable prospectus supplement any provisions for a change in the exercise price or the expiration date of the warrants and the kind, frequency and timing of any notice to be given. You may exchange warrant certificates for new warrant certificates of different denominations and may exercise warrants at the corporate trust office of the warrant agent or any other office that we indicate in the applicable prospectus supplement. Prior to the exercise of your warrants, you will not have any of the rights of holders of the preferred stock, common stock or other securities purchasable upon that exercise and will not be entitled to dividend payments, if any, or voting rights of the preferred stock, common stock or other securities purchasable upon the exercise.</w:t>
      </w:r>
    </w:p>
    <w:p>
      <w:pPr>
        <w:spacing w:after="0" w:line="14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58" w:lineRule="exact"/>
        <w:rPr>
          <w:sz w:val="20"/>
          <w:szCs w:val="20"/>
          <w:color w:val="auto"/>
        </w:rPr>
      </w:pPr>
    </w:p>
    <w:p>
      <w:pPr>
        <w:ind w:left="1360" w:right="1419" w:firstLine="276"/>
        <w:spacing w:after="0" w:line="252" w:lineRule="auto"/>
        <w:rPr>
          <w:sz w:val="20"/>
          <w:szCs w:val="20"/>
          <w:color w:val="auto"/>
        </w:rPr>
      </w:pPr>
      <w:r>
        <w:rPr>
          <w:rFonts w:ascii="Times New Roman" w:cs="Times New Roman" w:eastAsia="Times New Roman" w:hAnsi="Times New Roman"/>
          <w:sz w:val="14"/>
          <w:szCs w:val="14"/>
          <w:color w:val="auto"/>
        </w:rPr>
        <w:t>We will describe in the prospectus supplement relating to the warrants the principal amount or the number of our securities, or amounts of other securities, property or assets that you may purchase for cash upon exercise of a warrant, and the exercise price. You may exercise a warrant as described in the prospectus supplement relating to the warrants at any time up to the close of business on the expiration date stated in the applicable prospectus supplement. Unexercised warrants will become void after the close of business on the expiration date, or any later expiration date that we determine.</w:t>
      </w:r>
    </w:p>
    <w:p>
      <w:pPr>
        <w:spacing w:after="0" w:line="31" w:lineRule="exact"/>
        <w:rPr>
          <w:sz w:val="20"/>
          <w:szCs w:val="20"/>
          <w:color w:val="auto"/>
        </w:rPr>
      </w:pPr>
    </w:p>
    <w:p>
      <w:pPr>
        <w:ind w:left="1360" w:right="1459" w:firstLine="276"/>
        <w:spacing w:after="0" w:line="254" w:lineRule="auto"/>
        <w:rPr>
          <w:sz w:val="20"/>
          <w:szCs w:val="20"/>
          <w:color w:val="auto"/>
        </w:rPr>
      </w:pPr>
      <w:r>
        <w:rPr>
          <w:rFonts w:ascii="Times New Roman" w:cs="Times New Roman" w:eastAsia="Times New Roman" w:hAnsi="Times New Roman"/>
          <w:sz w:val="14"/>
          <w:szCs w:val="14"/>
          <w:color w:val="auto"/>
        </w:rPr>
        <w:t>We will forward the securities purchasable upon the exercise as soon as practicable after receipt of payment and the properly completed and executed warrant certificate at the corporate trust office of the warrant agent or other office stated in the applicable prospectus supplement. If you exercise less than all of the warrants represented by the warrant certificate, we will issue you a new warrant certificate for the remaining warrants.</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3" w:name="page74"/>
    <w:bookmarkEnd w:id="73"/>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PURCHASE CONTRACTS AND PURCHASE UNITS</w:t>
      </w:r>
    </w:p>
    <w:p>
      <w:pPr>
        <w:spacing w:after="0" w:line="120" w:lineRule="exact"/>
        <w:rPr>
          <w:sz w:val="20"/>
          <w:szCs w:val="20"/>
          <w:color w:val="auto"/>
        </w:rPr>
      </w:pPr>
    </w:p>
    <w:p>
      <w:pPr>
        <w:ind w:left="1360" w:right="1379" w:firstLine="276"/>
        <w:spacing w:after="0" w:line="248" w:lineRule="auto"/>
        <w:rPr>
          <w:sz w:val="20"/>
          <w:szCs w:val="20"/>
          <w:color w:val="auto"/>
        </w:rPr>
      </w:pPr>
      <w:r>
        <w:rPr>
          <w:rFonts w:ascii="Times New Roman" w:cs="Times New Roman" w:eastAsia="Times New Roman" w:hAnsi="Times New Roman"/>
          <w:sz w:val="14"/>
          <w:szCs w:val="14"/>
          <w:color w:val="auto"/>
        </w:rPr>
        <w:t>We may issue purchase contracts, including contracts obligating or entitling you to purchase from us, and obligating or entitling us to sell to you, a specific number of shares of common stock or preferred stock or other securities, property or assets, at a future date or dates. Alternatively, the purchase contacts may obligate or entitle us to purchase from you, and obligate or entitle you to sell to us, a specific or varying number of shares of common stock or preferred stock, or other securities, property or assets, at a future date. The price per share of preferred stock or common stock may be fixed at the time the purchase contracts are issued or may be determined by reference to a specific formula described in the purchase contracts. We may issue purchase contracts separately or as a part of units each consisting of a purchase contract and debt securities, undivided beneficial ownership interests in debt securities, junior subordinated debt securities, depositary shares representing fractional interests in debt securities, junior subordinated debt securities, or shares of preferred stock, or debt obligations of third parties, including U.S. Treasury securities, securing your obligations to purchase the preferred stock or the common stock, or other securities, property or assets, under the purchase contract. The purchase contracts may require us to make periodic payments to you or vice versa and the payments may be unsecured or prefunded on some basis. The purchase contracts may require you to secure your obligations in a specified manner. We will describe in the applicable prospectus supplement the terms of any purchase contracts or purchase units and any related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4" w:name="page75"/>
    <w:bookmarkEnd w:id="74"/>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0" w:lineRule="exact"/>
        <w:rPr>
          <w:sz w:val="20"/>
          <w:szCs w:val="20"/>
          <w:color w:val="auto"/>
        </w:rPr>
      </w:pPr>
    </w:p>
    <w:p>
      <w:pPr>
        <w:ind w:left="1360" w:right="1519" w:firstLine="276"/>
        <w:spacing w:after="0" w:line="241" w:lineRule="auto"/>
        <w:rPr>
          <w:sz w:val="20"/>
          <w:szCs w:val="20"/>
          <w:color w:val="auto"/>
        </w:rPr>
      </w:pPr>
      <w:r>
        <w:rPr>
          <w:rFonts w:ascii="Times New Roman" w:cs="Times New Roman" w:eastAsia="Times New Roman" w:hAnsi="Times New Roman"/>
          <w:sz w:val="14"/>
          <w:szCs w:val="14"/>
          <w:color w:val="auto"/>
        </w:rPr>
        <w:t>We may sell securities from time to time in one or more transactions separately or as units with other securities.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9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Agents whom we designate may solicit offers to purchase the securities.</w:t>
      </w:r>
    </w:p>
    <w:p>
      <w:pPr>
        <w:spacing w:after="0" w:line="87" w:lineRule="exact"/>
        <w:rPr>
          <w:sz w:val="20"/>
          <w:szCs w:val="20"/>
          <w:color w:val="auto"/>
        </w:rPr>
      </w:pPr>
    </w:p>
    <w:p>
      <w:pPr>
        <w:ind w:left="1780" w:right="1419" w:hanging="147"/>
        <w:spacing w:after="0" w:line="276" w:lineRule="auto"/>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name any agent involved in offering or selling securities, and disclose any commissions that we will pay to the agent, in the applicable prospectus supplement.</w:t>
      </w:r>
    </w:p>
    <w:p>
      <w:pPr>
        <w:spacing w:after="0" w:line="33" w:lineRule="exact"/>
        <w:rPr>
          <w:rFonts w:ascii="Times New Roman" w:cs="Times New Roman" w:eastAsia="Times New Roman" w:hAnsi="Times New Roman"/>
          <w:sz w:val="14"/>
          <w:szCs w:val="14"/>
          <w:color w:val="auto"/>
        </w:rPr>
      </w:pPr>
    </w:p>
    <w:p>
      <w:pPr>
        <w:ind w:left="1780" w:right="1739" w:hanging="147"/>
        <w:spacing w:after="0" w:line="276" w:lineRule="auto"/>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indicate otherwise in the applicable prospectus supplement, agents will act on a best efforts basis for the period of their appointment.</w:t>
      </w:r>
    </w:p>
    <w:p>
      <w:pPr>
        <w:spacing w:after="0" w:line="43" w:lineRule="exact"/>
        <w:rPr>
          <w:rFonts w:ascii="Times New Roman" w:cs="Times New Roman" w:eastAsia="Times New Roman" w:hAnsi="Times New Roman"/>
          <w:sz w:val="14"/>
          <w:szCs w:val="14"/>
          <w:color w:val="auto"/>
        </w:rPr>
      </w:pPr>
    </w:p>
    <w:p>
      <w:pPr>
        <w:ind w:left="1780" w:right="1879" w:hanging="147"/>
        <w:spacing w:after="0" w:line="276" w:lineRule="auto"/>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Agents may be deemed to be underwriters under the Securities Act of 1933, as amended (the “Securities Act”) of any of the securities that they offer or sell.</w:t>
      </w:r>
    </w:p>
    <w:p>
      <w:pPr>
        <w:spacing w:after="0" w:line="6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 may use an underwriter or underwriters in the offer or sale of the securities.</w:t>
      </w:r>
    </w:p>
    <w:p>
      <w:pPr>
        <w:spacing w:after="0" w:line="87" w:lineRule="exact"/>
        <w:rPr>
          <w:sz w:val="20"/>
          <w:szCs w:val="20"/>
          <w:color w:val="auto"/>
        </w:rPr>
      </w:pPr>
    </w:p>
    <w:p>
      <w:pPr>
        <w:ind w:left="1780" w:right="1699" w:hanging="147"/>
        <w:spacing w:after="0" w:line="276" w:lineRule="auto"/>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use an underwriter or underwriters, we will execute an underwriting agreement with the underwriter or underwriters at the time that we reach an agreement for the sale of the securities.</w:t>
      </w:r>
    </w:p>
    <w:p>
      <w:pPr>
        <w:spacing w:after="0" w:line="43" w:lineRule="exact"/>
        <w:rPr>
          <w:rFonts w:ascii="Times New Roman" w:cs="Times New Roman" w:eastAsia="Times New Roman" w:hAnsi="Times New Roman"/>
          <w:sz w:val="14"/>
          <w:szCs w:val="14"/>
          <w:color w:val="auto"/>
        </w:rPr>
      </w:pPr>
    </w:p>
    <w:p>
      <w:pPr>
        <w:ind w:left="1780" w:right="1539" w:hanging="147"/>
        <w:spacing w:after="0" w:line="261" w:lineRule="auto"/>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include the names of the specific managing underwriter or underwriters, as well as the names of any other underwriters, and the terms of the transactions, including the compensation the underwriters and dealers will receive, in the applicable prospectus supplement.</w:t>
      </w:r>
    </w:p>
    <w:p>
      <w:pPr>
        <w:spacing w:after="0" w:line="44" w:lineRule="exact"/>
        <w:rPr>
          <w:rFonts w:ascii="Times New Roman" w:cs="Times New Roman" w:eastAsia="Times New Roman" w:hAnsi="Times New Roman"/>
          <w:sz w:val="14"/>
          <w:szCs w:val="14"/>
          <w:color w:val="auto"/>
        </w:rPr>
      </w:pPr>
    </w:p>
    <w:p>
      <w:pPr>
        <w:ind w:left="1780" w:hanging="147"/>
        <w:spacing w:after="0"/>
        <w:tabs>
          <w:tab w:leader="none" w:pos="1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underwriters will use the applicable prospectus supplement to sell the securities.</w:t>
      </w:r>
    </w:p>
    <w:p>
      <w:pPr>
        <w:spacing w:after="0" w:line="11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We may use a dealer to sell the securities.</w:t>
      </w:r>
    </w:p>
    <w:p>
      <w:pPr>
        <w:spacing w:after="0" w:line="77" w:lineRule="exact"/>
        <w:rPr>
          <w:sz w:val="20"/>
          <w:szCs w:val="20"/>
          <w:color w:val="auto"/>
        </w:rPr>
      </w:pPr>
    </w:p>
    <w:p>
      <w:pPr>
        <w:ind w:left="1780" w:hanging="147"/>
        <w:spacing w:after="0"/>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use a dealer, we, as principal, will sell the securities to the dealer.</w:t>
      </w:r>
    </w:p>
    <w:p>
      <w:pPr>
        <w:spacing w:after="0" w:line="87" w:lineRule="exact"/>
        <w:rPr>
          <w:rFonts w:ascii="Times New Roman" w:cs="Times New Roman" w:eastAsia="Times New Roman" w:hAnsi="Times New Roman"/>
          <w:sz w:val="14"/>
          <w:szCs w:val="14"/>
          <w:color w:val="auto"/>
        </w:rPr>
      </w:pPr>
    </w:p>
    <w:p>
      <w:pPr>
        <w:ind w:left="1780" w:right="1399" w:hanging="147"/>
        <w:spacing w:after="0" w:line="276" w:lineRule="auto"/>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will then sell the securities to the public at varying prices that the dealer will determine at the time it sells the securities.</w:t>
      </w:r>
    </w:p>
    <w:p>
      <w:pPr>
        <w:spacing w:after="0" w:line="43" w:lineRule="exact"/>
        <w:rPr>
          <w:rFonts w:ascii="Times New Roman" w:cs="Times New Roman" w:eastAsia="Times New Roman" w:hAnsi="Times New Roman"/>
          <w:sz w:val="14"/>
          <w:szCs w:val="14"/>
          <w:color w:val="auto"/>
        </w:rPr>
      </w:pPr>
    </w:p>
    <w:p>
      <w:pPr>
        <w:ind w:left="1780" w:right="1839" w:hanging="147"/>
        <w:spacing w:after="0" w:line="276" w:lineRule="auto"/>
        <w:tabs>
          <w:tab w:leader="none" w:pos="1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include the name of the dealer and the terms of the transactions with the dealer in the applicable prospectus supplement.</w:t>
      </w:r>
    </w:p>
    <w:p>
      <w:pPr>
        <w:spacing w:after="0" w:line="64" w:lineRule="exact"/>
        <w:rPr>
          <w:sz w:val="20"/>
          <w:szCs w:val="20"/>
          <w:color w:val="auto"/>
        </w:rPr>
      </w:pPr>
    </w:p>
    <w:p>
      <w:pPr>
        <w:ind w:left="1360" w:right="1739" w:firstLine="276"/>
        <w:spacing w:after="0" w:line="254" w:lineRule="auto"/>
        <w:rPr>
          <w:sz w:val="20"/>
          <w:szCs w:val="20"/>
          <w:color w:val="auto"/>
        </w:rPr>
      </w:pPr>
      <w:r>
        <w:rPr>
          <w:rFonts w:ascii="Times New Roman" w:cs="Times New Roman" w:eastAsia="Times New Roman" w:hAnsi="Times New Roman"/>
          <w:sz w:val="14"/>
          <w:szCs w:val="14"/>
          <w:color w:val="auto"/>
        </w:rPr>
        <w:t>We may solicit directly offers to purchase the securities, and we may directly sell the securities to institutional or other investors. We will describe the terms of direct sales in the applicable prospectus supplement.</w:t>
      </w:r>
    </w:p>
    <w:p>
      <w:pPr>
        <w:spacing w:after="0" w:line="79" w:lineRule="exact"/>
        <w:rPr>
          <w:sz w:val="20"/>
          <w:szCs w:val="20"/>
          <w:color w:val="auto"/>
        </w:rPr>
      </w:pPr>
    </w:p>
    <w:p>
      <w:pPr>
        <w:ind w:left="1360" w:right="2019" w:firstLine="276"/>
        <w:spacing w:after="0" w:line="261" w:lineRule="auto"/>
        <w:rPr>
          <w:sz w:val="20"/>
          <w:szCs w:val="20"/>
          <w:color w:val="auto"/>
        </w:rPr>
      </w:pPr>
      <w:r>
        <w:rPr>
          <w:rFonts w:ascii="Times New Roman" w:cs="Times New Roman" w:eastAsia="Times New Roman" w:hAnsi="Times New Roman"/>
          <w:sz w:val="14"/>
          <w:szCs w:val="14"/>
          <w:color w:val="auto"/>
        </w:rPr>
        <w:t>We may engage in at the market offerings into an existing trading market in accordance with Rule 415(a)(4) of the Securities Act.</w:t>
      </w:r>
    </w:p>
    <w:p>
      <w:pPr>
        <w:spacing w:after="0" w:line="74" w:lineRule="exact"/>
        <w:rPr>
          <w:sz w:val="20"/>
          <w:szCs w:val="20"/>
          <w:color w:val="auto"/>
        </w:rPr>
      </w:pPr>
    </w:p>
    <w:p>
      <w:pPr>
        <w:ind w:left="1360" w:right="1399" w:firstLine="276"/>
        <w:spacing w:after="0" w:line="241" w:lineRule="auto"/>
        <w:rPr>
          <w:sz w:val="20"/>
          <w:szCs w:val="20"/>
          <w:color w:val="auto"/>
        </w:rPr>
      </w:pPr>
      <w:r>
        <w:rPr>
          <w:rFonts w:ascii="Times New Roman" w:cs="Times New Roman" w:eastAsia="Times New Roman" w:hAnsi="Times New Roman"/>
          <w:sz w:val="14"/>
          <w:szCs w:val="14"/>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w:t>
      </w: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We may indemnify agents, underwriters, dealers and remarketing firms against certain liabilities,</w:t>
      </w:r>
    </w:p>
    <w:p>
      <w:pPr>
        <w:spacing w:after="0" w:line="10" w:lineRule="exact"/>
        <w:rPr>
          <w:sz w:val="20"/>
          <w:szCs w:val="20"/>
          <w:color w:val="auto"/>
        </w:rPr>
      </w:pPr>
    </w:p>
    <w:p>
      <w:pPr>
        <w:ind w:left="1360" w:right="1519"/>
        <w:spacing w:after="0" w:line="242" w:lineRule="auto"/>
        <w:rPr>
          <w:sz w:val="20"/>
          <w:szCs w:val="20"/>
          <w:color w:val="auto"/>
        </w:rPr>
      </w:pPr>
      <w:r>
        <w:rPr>
          <w:rFonts w:ascii="Times New Roman" w:cs="Times New Roman" w:eastAsia="Times New Roman" w:hAnsi="Times New Roman"/>
          <w:sz w:val="14"/>
          <w:szCs w:val="14"/>
          <w:color w:val="auto"/>
        </w:rPr>
        <w:t>including liabilities under the Securities Act. Agents, underwriters, dealers and remarketing firms, or their affiliates, may be customers of, engage in transactions with or perform services for us, in the ordinary course of business.</w:t>
      </w:r>
    </w:p>
    <w:p>
      <w:pPr>
        <w:spacing w:after="0" w:line="87" w:lineRule="exact"/>
        <w:rPr>
          <w:sz w:val="20"/>
          <w:szCs w:val="20"/>
          <w:color w:val="auto"/>
        </w:rPr>
      </w:pPr>
    </w:p>
    <w:p>
      <w:pPr>
        <w:ind w:left="1360" w:right="1799" w:firstLine="276"/>
        <w:spacing w:after="0" w:line="261" w:lineRule="auto"/>
        <w:rPr>
          <w:sz w:val="20"/>
          <w:szCs w:val="20"/>
          <w:color w:val="auto"/>
        </w:rPr>
      </w:pPr>
      <w:r>
        <w:rPr>
          <w:rFonts w:ascii="Times New Roman" w:cs="Times New Roman" w:eastAsia="Times New Roman" w:hAnsi="Times New Roman"/>
          <w:sz w:val="14"/>
          <w:szCs w:val="14"/>
          <w:color w:val="auto"/>
        </w:rPr>
        <w:t>We may authorize agents and underwriters to solicit offers by certain institutions to purchase the securities at the public offering price under delayed delivery contracts.</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5" w:name="page76"/>
    <w:bookmarkEnd w:id="75"/>
    <w:p>
      <w:pPr>
        <w:ind w:left="40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80" w:right="1399" w:hanging="147"/>
        <w:spacing w:after="0" w:line="261" w:lineRule="auto"/>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use delayed delivery contracts, we will disclose that we are using them in the applicable prospectus supplement and will tell you when we will demand payment and delivery of the securities under the delayed delivery contracts.</w:t>
      </w:r>
    </w:p>
    <w:p>
      <w:pPr>
        <w:spacing w:after="0" w:line="75" w:lineRule="exact"/>
        <w:rPr>
          <w:rFonts w:ascii="Times New Roman" w:cs="Times New Roman" w:eastAsia="Times New Roman" w:hAnsi="Times New Roman"/>
          <w:sz w:val="14"/>
          <w:szCs w:val="14"/>
          <w:color w:val="auto"/>
        </w:rPr>
      </w:pPr>
    </w:p>
    <w:p>
      <w:pPr>
        <w:ind w:left="1780" w:right="1819" w:hanging="147"/>
        <w:spacing w:after="0" w:line="276" w:lineRule="auto"/>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delayed delivery contracts will be subject only to the conditions that we describe in the applicable prospectus supplement.</w:t>
      </w:r>
    </w:p>
    <w:p>
      <w:pPr>
        <w:spacing w:after="0" w:line="54" w:lineRule="exact"/>
        <w:rPr>
          <w:rFonts w:ascii="Times New Roman" w:cs="Times New Roman" w:eastAsia="Times New Roman" w:hAnsi="Times New Roman"/>
          <w:sz w:val="14"/>
          <w:szCs w:val="14"/>
          <w:color w:val="auto"/>
        </w:rPr>
      </w:pPr>
    </w:p>
    <w:p>
      <w:pPr>
        <w:ind w:left="1780" w:right="1719" w:hanging="147"/>
        <w:spacing w:after="0" w:line="276" w:lineRule="auto"/>
        <w:tabs>
          <w:tab w:leader="none" w:pos="1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describe in the applicable prospectus supplement the commission that underwriters and agents soliciting purchases of the securities under delayed contracts will be entitled to receive.</w:t>
      </w:r>
    </w:p>
    <w:p>
      <w:pPr>
        <w:spacing w:after="0" w:line="75" w:lineRule="exact"/>
        <w:rPr>
          <w:sz w:val="20"/>
          <w:szCs w:val="20"/>
          <w:color w:val="auto"/>
        </w:rPr>
      </w:pPr>
    </w:p>
    <w:p>
      <w:pPr>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Until the distribution of the securities is completed, rules of the SEC may limit the ability of underwriters and other participants in the offering to bid for and purchase the securities. As an exception to these rules, the underwriters in certain circumstances are permitted to engage in certain transactions that stabilize the price of the securities. Such transactions consist of bids or purchases for the purpose of pegging, fixing or maintaining the price of the securities. If the underwriters create a short position in the securities in connection with the offering, i.e., if they sell more securities than are set forth on the cover page of the applicable prospectus supplement, the underwriters may reduce that short position by purchasing securities in the open market. The underwriters also may impose a penalty bid on certain underwriters. This means that if the underwriters purchase the securities in the open market to reduce the underwriters’ short position or to stabilize the price of the securities, they may reclaim the amount of the selling concession from the underwriters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w:t>
      </w:r>
    </w:p>
    <w:p>
      <w:pPr>
        <w:spacing w:after="0" w:line="84" w:lineRule="exact"/>
        <w:rPr>
          <w:sz w:val="20"/>
          <w:szCs w:val="20"/>
          <w:color w:val="auto"/>
        </w:rPr>
      </w:pPr>
    </w:p>
    <w:p>
      <w:pPr>
        <w:ind w:left="1360" w:right="1379" w:firstLine="276"/>
        <w:spacing w:after="0" w:line="250" w:lineRule="auto"/>
        <w:rPr>
          <w:sz w:val="20"/>
          <w:szCs w:val="20"/>
          <w:color w:val="auto"/>
        </w:rPr>
      </w:pPr>
      <w:r>
        <w:rPr>
          <w:rFonts w:ascii="Times New Roman" w:cs="Times New Roman" w:eastAsia="Times New Roman" w:hAnsi="Times New Roman"/>
          <w:sz w:val="14"/>
          <w:szCs w:val="14"/>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applicable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of which this prospectus is a part).</w:t>
      </w:r>
    </w:p>
    <w:p>
      <w:pPr>
        <w:spacing w:after="0" w:line="93" w:lineRule="exact"/>
        <w:rPr>
          <w:sz w:val="20"/>
          <w:szCs w:val="20"/>
          <w:color w:val="auto"/>
        </w:rPr>
      </w:pPr>
    </w:p>
    <w:p>
      <w:pPr>
        <w:ind w:left="1360" w:right="1379" w:firstLine="276"/>
        <w:spacing w:after="0" w:line="251" w:lineRule="auto"/>
        <w:rPr>
          <w:sz w:val="20"/>
          <w:szCs w:val="20"/>
          <w:color w:val="auto"/>
        </w:rPr>
      </w:pPr>
      <w:r>
        <w:rPr>
          <w:rFonts w:ascii="Times New Roman" w:cs="Times New Roman" w:eastAsia="Times New Roman" w:hAnsi="Times New Roman"/>
          <w:sz w:val="14"/>
          <w:szCs w:val="14"/>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95" w:lineRule="exact"/>
        <w:rPr>
          <w:sz w:val="20"/>
          <w:szCs w:val="20"/>
          <w:color w:val="auto"/>
        </w:rPr>
      </w:pPr>
    </w:p>
    <w:p>
      <w:pPr>
        <w:ind w:left="1360" w:right="1419" w:firstLine="276"/>
        <w:spacing w:after="0" w:line="253" w:lineRule="auto"/>
        <w:rPr>
          <w:sz w:val="20"/>
          <w:szCs w:val="20"/>
          <w:color w:val="auto"/>
        </w:rPr>
      </w:pPr>
      <w:r>
        <w:rPr>
          <w:rFonts w:ascii="Times New Roman" w:cs="Times New Roman" w:eastAsia="Times New Roman" w:hAnsi="Times New Roman"/>
          <w:sz w:val="14"/>
          <w:szCs w:val="14"/>
          <w:color w:val="auto"/>
        </w:rPr>
        <w:t>We may loan or pledge securities to third parties that in turn may sell the securities using this prospectus and the applicable prospectus supplement or, if we default in the case of a pledge, may offer and sell the securities from time to time using this prospectus and the applicable prospectus supplement. Such third parties may transfer their short positions to investors in the securities or in connection with a concurrent offering of other securities offered by this prospectus and the applicable prospectus supplement or otherwise.</w:t>
      </w:r>
    </w:p>
    <w:p>
      <w:pPr>
        <w:spacing w:after="0" w:line="249" w:lineRule="exact"/>
        <w:rPr>
          <w:sz w:val="20"/>
          <w:szCs w:val="20"/>
          <w:color w:val="auto"/>
        </w:rPr>
      </w:pPr>
    </w:p>
    <w:p>
      <w:pPr>
        <w:ind w:left="1360" w:right="1519" w:firstLine="276"/>
        <w:spacing w:after="0" w:line="256" w:lineRule="auto"/>
        <w:rPr>
          <w:sz w:val="20"/>
          <w:szCs w:val="20"/>
          <w:color w:val="auto"/>
        </w:rPr>
      </w:pPr>
      <w:r>
        <w:rPr>
          <w:rFonts w:ascii="Times New Roman" w:cs="Times New Roman" w:eastAsia="Times New Roman" w:hAnsi="Times New Roman"/>
          <w:sz w:val="14"/>
          <w:szCs w:val="14"/>
          <w:color w:val="auto"/>
        </w:rPr>
        <w:t>If 5% or more of the net proceeds of any offering of securities made under this prospectus will be received by a Financial Industry Regulatory Authority (“FINRA”) member participating in the offering or affiliates or associated persons of such FINRA member, the offering will be conducted in accordance with FINRA Rule 5121 (or any successor rule).</w:t>
      </w:r>
    </w:p>
    <w:p>
      <w:pPr>
        <w:spacing w:after="0" w:line="89" w:lineRule="exact"/>
        <w:rPr>
          <w:sz w:val="20"/>
          <w:szCs w:val="20"/>
          <w:color w:val="auto"/>
        </w:rPr>
      </w:pPr>
    </w:p>
    <w:p>
      <w:pPr>
        <w:ind w:left="1360" w:right="1799" w:firstLine="276"/>
        <w:spacing w:after="0" w:line="276" w:lineRule="auto"/>
        <w:rPr>
          <w:sz w:val="20"/>
          <w:szCs w:val="20"/>
          <w:color w:val="auto"/>
        </w:rPr>
      </w:pPr>
      <w:r>
        <w:rPr>
          <w:rFonts w:ascii="Times New Roman" w:cs="Times New Roman" w:eastAsia="Times New Roman" w:hAnsi="Times New Roman"/>
          <w:sz w:val="14"/>
          <w:szCs w:val="14"/>
          <w:color w:val="auto"/>
        </w:rPr>
        <w:t>Any underwriters, agents, dealers or remarketing firms will be identified and their compensation described in a prospectus supplement.</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6" w:name="page77"/>
    <w:bookmarkEnd w:id="76"/>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VALIDITY OF SECURITIES</w:t>
      </w:r>
    </w:p>
    <w:p>
      <w:pPr>
        <w:spacing w:after="0" w:line="120" w:lineRule="exact"/>
        <w:rPr>
          <w:sz w:val="20"/>
          <w:szCs w:val="20"/>
          <w:color w:val="auto"/>
        </w:rPr>
      </w:pPr>
    </w:p>
    <w:p>
      <w:pPr>
        <w:ind w:left="1360" w:right="1399" w:firstLine="276"/>
        <w:spacing w:after="0" w:line="276"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validity of any securities offered by this prospectus will be passed upon for us by Debevoise &amp; Plimpton LLP, New York, New York.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0" w:lineRule="exact"/>
        <w:rPr>
          <w:sz w:val="20"/>
          <w:szCs w:val="20"/>
          <w:color w:val="auto"/>
        </w:rPr>
      </w:pPr>
    </w:p>
    <w:p>
      <w:pPr>
        <w:ind w:left="1360" w:right="1419" w:firstLine="276"/>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Principal Financial Group, Inc. appearing in Principal Financial Group, Inc.’s </w:t>
      </w:r>
      <w:hyperlink r:id="rId29">
        <w:r>
          <w:rPr>
            <w:rFonts w:ascii="Times New Roman" w:cs="Times New Roman" w:eastAsia="Times New Roman" w:hAnsi="Times New Roman"/>
            <w:sz w:val="14"/>
            <w:szCs w:val="14"/>
            <w:u w:val="single" w:color="auto"/>
            <w:color w:val="0000EE"/>
          </w:rPr>
          <w:t>Annual Report (Form 10-K) for the year ended 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(including schedules appearing therein), and the effectiveness of Principal Financial Group, Inc.’s internal control over financial reporting as of December 31, 2025, have been audited by Ernst &amp; Young LLP, independent registered public accounting firm, as set forth in its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10" w:lineRule="exact"/>
        <w:rPr>
          <w:sz w:val="20"/>
          <w:szCs w:val="20"/>
          <w:color w:val="auto"/>
        </w:rPr>
      </w:pPr>
    </w:p>
    <w:p>
      <w:pPr>
        <w:ind w:left="1360" w:right="1379" w:firstLine="276"/>
        <w:spacing w:after="0" w:line="249" w:lineRule="auto"/>
        <w:rPr>
          <w:sz w:val="20"/>
          <w:szCs w:val="20"/>
          <w:color w:val="auto"/>
        </w:rPr>
      </w:pPr>
      <w:r>
        <w:rPr>
          <w:rFonts w:ascii="Times New Roman" w:cs="Times New Roman" w:eastAsia="Times New Roman" w:hAnsi="Times New Roman"/>
          <w:sz w:val="14"/>
          <w:szCs w:val="14"/>
          <w:color w:val="auto"/>
        </w:rPr>
        <w:t>We file annual, quarterly and special reports, proxy statements and other information with the SEC under the Exchange Act. The SEC maintains an Internet site, http://www.sec.gov, which contains reports, proxy and information statements and other information regarding issuers that are subject to the SEC’s reporting requirements. Our website is located at www.principal.com. We post filings on our website as soon as practicable after they are electronically filed with, or furnished to, the SEC. All such postings and filings are available on the “Investor Relations” portion of our website free of charge. Information contained on or connected to any website referenced in this prospectus, any accompanying prospectus supplement and the documents incorporated by reference herein and therein is not incorporated by reference in this prospectus, any accompanying prospectus supplement and the documents incorporated by reference herein and therein, and any website references are intended to be inactive textual references only unless expressly noted.</w:t>
      </w:r>
    </w:p>
    <w:p>
      <w:pPr>
        <w:spacing w:after="0" w:line="265" w:lineRule="exact"/>
        <w:rPr>
          <w:sz w:val="20"/>
          <w:szCs w:val="20"/>
          <w:color w:val="auto"/>
        </w:rPr>
      </w:pPr>
    </w:p>
    <w:p>
      <w:pPr>
        <w:ind w:left="1360" w:right="1439" w:firstLine="276"/>
        <w:spacing w:after="0" w:line="250"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relating to the securities to be offered. This prospectus does not contain all of the information we have included in the registration statement and the accompanying exhibits and schedules in accordance with the rules and regulations of the SEC, and we refer you to the omitted information. The statements this prospectus makes pertaining to the content of any contract, agreement or other document that is an exhibit to the registration statement necessarily are summaries of their material provisions and does not describe all exceptions and qualifications contained in those contracts, agreements or documents. You should read those contracts, agreements or documents for information that may be important to you. The registration statement, exhibits and schedules are available through the SEC’s Internet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7" w:name="page78"/>
    <w:bookmarkEnd w:id="77"/>
    <w:p>
      <w:pPr>
        <w:ind w:left="40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0" w:lineRule="exact"/>
        <w:rPr>
          <w:sz w:val="20"/>
          <w:szCs w:val="20"/>
          <w:color w:val="auto"/>
        </w:rPr>
      </w:pPr>
    </w:p>
    <w:p>
      <w:pPr>
        <w:ind w:left="1360" w:right="1459" w:firstLine="276"/>
        <w:spacing w:after="0" w:line="254" w:lineRule="auto"/>
        <w:rPr>
          <w:sz w:val="20"/>
          <w:szCs w:val="20"/>
          <w:color w:val="auto"/>
        </w:rPr>
      </w:pPr>
      <w:r>
        <w:rPr>
          <w:rFonts w:ascii="Times New Roman" w:cs="Times New Roman" w:eastAsia="Times New Roman" w:hAnsi="Times New Roman"/>
          <w:sz w:val="14"/>
          <w:szCs w:val="14"/>
          <w:color w:val="auto"/>
        </w:rPr>
        <w:t>The rules of the SEC allow us to “incorporate by reference” information into this prospectus,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This prospectus incorporates by reference the documents listed below:</w:t>
      </w:r>
    </w:p>
    <w:p>
      <w:pPr>
        <w:spacing w:after="0" w:line="59" w:lineRule="exact"/>
        <w:rPr>
          <w:sz w:val="20"/>
          <w:szCs w:val="20"/>
          <w:color w:val="auto"/>
        </w:rPr>
      </w:pPr>
    </w:p>
    <w:p>
      <w:pPr>
        <w:ind w:left="1780" w:hanging="147"/>
        <w:spacing w:after="0"/>
        <w:tabs>
          <w:tab w:leader="none" w:pos="1780" w:val="left"/>
        </w:tabs>
        <w:numPr>
          <w:ilvl w:val="0"/>
          <w:numId w:val="57"/>
        </w:numPr>
        <w:rPr>
          <w:rFonts w:ascii="Times New Roman" w:cs="Times New Roman" w:eastAsia="Times New Roman" w:hAnsi="Times New Roman"/>
          <w:sz w:val="14"/>
          <w:szCs w:val="14"/>
          <w:color w:val="0000EE"/>
        </w:rPr>
      </w:pPr>
      <w:hyperlink r:id="rId29">
        <w:r>
          <w:rPr>
            <w:rFonts w:ascii="Times New Roman" w:cs="Times New Roman" w:eastAsia="Times New Roman" w:hAnsi="Times New Roman"/>
            <w:sz w:val="14"/>
            <w:szCs w:val="14"/>
            <w:u w:val="single" w:color="auto"/>
            <w:color w:val="0000EE"/>
          </w:rPr>
          <w:t>our Annual Report on Form 10-K for the year ended December 31, 2025</w:t>
        </w:r>
      </w:hyperlink>
      <w:r>
        <w:rPr>
          <w:rFonts w:ascii="Times New Roman" w:cs="Times New Roman" w:eastAsia="Times New Roman" w:hAnsi="Times New Roman"/>
          <w:sz w:val="14"/>
          <w:szCs w:val="14"/>
          <w:color w:val="000000"/>
        </w:rPr>
        <w:t>;</w:t>
      </w:r>
    </w:p>
    <w:p>
      <w:pPr>
        <w:spacing w:after="0" w:line="87" w:lineRule="exact"/>
        <w:rPr>
          <w:rFonts w:ascii="Times New Roman" w:cs="Times New Roman" w:eastAsia="Times New Roman" w:hAnsi="Times New Roman"/>
          <w:sz w:val="14"/>
          <w:szCs w:val="14"/>
          <w:color w:val="0000EE"/>
        </w:rPr>
      </w:pPr>
    </w:p>
    <w:p>
      <w:pPr>
        <w:ind w:left="1780" w:right="1499" w:hanging="147"/>
        <w:spacing w:after="0" w:line="276" w:lineRule="auto"/>
        <w:tabs>
          <w:tab w:leader="none" w:pos="17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description of our common stock and the rights associated with our common stock contained in our registration statement on </w:t>
      </w:r>
      <w:hyperlink r:id="rId132">
        <w:r>
          <w:rPr>
            <w:rFonts w:ascii="Times New Roman" w:cs="Times New Roman" w:eastAsia="Times New Roman" w:hAnsi="Times New Roman"/>
            <w:sz w:val="14"/>
            <w:szCs w:val="14"/>
            <w:u w:val="single" w:color="auto"/>
            <w:color w:val="0000EE"/>
          </w:rPr>
          <w:t>Form 8-A, dated December 15, 2017</w:t>
        </w:r>
      </w:hyperlink>
      <w:r>
        <w:rPr>
          <w:rFonts w:ascii="Times New Roman" w:cs="Times New Roman" w:eastAsia="Times New Roman" w:hAnsi="Times New Roman"/>
          <w:sz w:val="14"/>
          <w:szCs w:val="14"/>
          <w:color w:val="auto"/>
        </w:rPr>
        <w:t>;</w:t>
      </w:r>
    </w:p>
    <w:p>
      <w:pPr>
        <w:spacing w:after="0" w:line="43" w:lineRule="exact"/>
        <w:rPr>
          <w:rFonts w:ascii="Times New Roman" w:cs="Times New Roman" w:eastAsia="Times New Roman" w:hAnsi="Times New Roman"/>
          <w:sz w:val="14"/>
          <w:szCs w:val="14"/>
          <w:color w:val="auto"/>
        </w:rPr>
      </w:pPr>
    </w:p>
    <w:p>
      <w:pPr>
        <w:ind w:left="1780" w:right="1639" w:hanging="147"/>
        <w:spacing w:after="0" w:line="261" w:lineRule="auto"/>
        <w:tabs>
          <w:tab w:leader="none" w:pos="1780" w:val="left"/>
        </w:tabs>
        <w:numPr>
          <w:ilvl w:val="0"/>
          <w:numId w:val="57"/>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w:t>
      </w:r>
      <w:hyperlink r:id="rId133">
        <w:r>
          <w:rPr>
            <w:rFonts w:ascii="Times New Roman" w:cs="Times New Roman" w:eastAsia="Times New Roman" w:hAnsi="Times New Roman"/>
            <w:sz w:val="14"/>
            <w:szCs w:val="14"/>
            <w:u w:val="single" w:color="auto"/>
            <w:color w:val="0000EE"/>
          </w:rPr>
          <w:t>Proxy Statement on Schedule 14A dated April 7,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(solely to the extent the information </w:t>
      </w:r>
      <w:hyperlink r:id="rId134">
        <w:r>
          <w:rPr>
            <w:rFonts w:ascii="Times New Roman" w:cs="Times New Roman" w:eastAsia="Times New Roman" w:hAnsi="Times New Roman"/>
            <w:sz w:val="14"/>
            <w:szCs w:val="14"/>
            <w:color w:val="auto"/>
          </w:rPr>
          <w:t xml:space="preserve">therein is incorporated by reference into Part III of our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134">
        <w:r>
          <w:rPr>
            <w:rFonts w:ascii="Times New Roman" w:cs="Times New Roman" w:eastAsia="Times New Roman" w:hAnsi="Times New Roman"/>
            <w:sz w:val="14"/>
            <w:szCs w:val="14"/>
            <w:u w:val="single" w:color="auto"/>
            <w:color w:val="0000EE"/>
          </w:rPr>
          <w:t>ended December 31, 2024</w:t>
        </w:r>
        <w:r>
          <w:rPr>
            <w:rFonts w:ascii="Times New Roman" w:cs="Times New Roman" w:eastAsia="Times New Roman" w:hAnsi="Times New Roman"/>
            <w:sz w:val="14"/>
            <w:szCs w:val="14"/>
            <w:color w:val="000000"/>
          </w:rPr>
          <w:t>); and</w:t>
        </w:r>
      </w:hyperlink>
    </w:p>
    <w:p>
      <w:pPr>
        <w:spacing w:after="0" w:line="54" w:lineRule="exact"/>
        <w:rPr>
          <w:rFonts w:ascii="Times New Roman" w:cs="Times New Roman" w:eastAsia="Times New Roman" w:hAnsi="Times New Roman"/>
          <w:sz w:val="14"/>
          <w:szCs w:val="14"/>
          <w:color w:val="0000EE"/>
        </w:rPr>
      </w:pPr>
    </w:p>
    <w:p>
      <w:pPr>
        <w:jc w:val="both"/>
        <w:ind w:left="1780" w:right="1459" w:hanging="147"/>
        <w:spacing w:after="0" w:line="261" w:lineRule="auto"/>
        <w:tabs>
          <w:tab w:leader="none" w:pos="17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filed by us pursuant to Sections 13(a), 13(c), 14 and 15(d) of the Exchange Act, other than reports or portions thereof furnished under Item 2.02 or 7.01 on Form 8-K and not specifically incorporated by reference, after the date of this prospectus.</w:t>
      </w:r>
    </w:p>
    <w:p>
      <w:pPr>
        <w:spacing w:after="0" w:line="85" w:lineRule="exact"/>
        <w:rPr>
          <w:rFonts w:ascii="Times New Roman" w:cs="Times New Roman" w:eastAsia="Times New Roman" w:hAnsi="Times New Roman"/>
          <w:sz w:val="14"/>
          <w:szCs w:val="14"/>
          <w:color w:val="auto"/>
        </w:rPr>
      </w:pPr>
    </w:p>
    <w:p>
      <w:pPr>
        <w:ind w:left="1360" w:right="1519" w:firstLine="276"/>
        <w:spacing w:after="0" w:line="252" w:lineRule="auto"/>
        <w:rPr>
          <w:sz w:val="20"/>
          <w:szCs w:val="20"/>
          <w:color w:val="auto"/>
        </w:rPr>
      </w:pPr>
      <w:r>
        <w:rPr>
          <w:rFonts w:ascii="Times New Roman" w:cs="Times New Roman" w:eastAsia="Times New Roman" w:hAnsi="Times New Roman"/>
          <w:sz w:val="14"/>
          <w:szCs w:val="14"/>
          <w:color w:val="auto"/>
        </w:rPr>
        <w:t>You can obtain any filing incorporated by reference into this prospectus through us or from the SEC through the SEC’s Internet site. We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You should direct requests for those documents to Office of the Corporate Secretary, Principal Financial Group, Inc., 711 High Street, Des Moines, Iowa 50392 (Telephone: (515) 247-5111).</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4"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238125</wp:posOffset>
            </wp:positionH>
            <wp:positionV relativeFrom="paragraph">
              <wp:posOffset>190500</wp:posOffset>
            </wp:positionV>
            <wp:extent cx="52444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8" w:name="page79"/>
    <w:bookmarkEnd w:id="78"/>
    <w:p>
      <w:pPr>
        <w:ind w:left="400"/>
        <w:spacing w:after="0"/>
        <w:rPr>
          <w:sz w:val="20"/>
          <w:szCs w:val="20"/>
          <w:color w:val="auto"/>
        </w:rPr>
      </w:pPr>
      <w:r>
        <w:rPr>
          <w:rFonts w:ascii="Calibri" w:cs="Calibri" w:eastAsia="Calibri" w:hAnsi="Calibri"/>
          <w:sz w:val="11"/>
          <w:szCs w:val="11"/>
          <w:color w:val="003366"/>
        </w:rPr>
        <w:t>TABLE OF CONTENTS</w:t>
      </w:r>
    </w:p>
    <w:p>
      <w:pPr>
        <w:spacing w:after="0" w:line="3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-4445</wp:posOffset>
            </wp:positionV>
            <wp:extent cx="4745355"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4745355" cy="13335"/>
                    </a:xfrm>
                    <a:prstGeom prst="rect">
                      <a:avLst/>
                    </a:prstGeom>
                    <a:noFill/>
                  </pic:spPr>
                </pic:pic>
              </a:graphicData>
            </a:graphic>
          </wp:anchor>
        </w:drawing>
        <w:drawing>
          <wp:anchor simplePos="0" relativeHeight="251657728" behindDoc="1" locked="0" layoutInCell="0" allowOverlap="1">
            <wp:simplePos x="0" y="0"/>
            <wp:positionH relativeFrom="column">
              <wp:posOffset>487045</wp:posOffset>
            </wp:positionH>
            <wp:positionV relativeFrom="paragraph">
              <wp:posOffset>34290</wp:posOffset>
            </wp:positionV>
            <wp:extent cx="474535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47453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105410</wp:posOffset>
            </wp:positionV>
            <wp:extent cx="1682750" cy="4730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1682750" cy="47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PRINCIPAL FINANCIAL GROUP, INC.</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5.300% Senior Notes due 2037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Fully and Unconditionally Guaranteed by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PRINCIPAL FINANCIAL SERVICES, INC.</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May 27, 2026</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89"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2200" w:type="dxa"/>
            <w:vAlign w:val="bottom"/>
          </w:tcPr>
          <w:p>
            <w:pPr>
              <w:jc w:val="center"/>
              <w:ind w:right="14"/>
              <w:spacing w:after="0"/>
              <w:rPr>
                <w:sz w:val="20"/>
                <w:szCs w:val="20"/>
                <w:color w:val="auto"/>
              </w:rPr>
            </w:pPr>
            <w:r>
              <w:rPr>
                <w:rFonts w:ascii="Times New Roman" w:cs="Times New Roman" w:eastAsia="Times New Roman" w:hAnsi="Times New Roman"/>
                <w:sz w:val="22"/>
                <w:szCs w:val="22"/>
                <w:b w:val="1"/>
                <w:bCs w:val="1"/>
                <w:color w:val="auto"/>
                <w:w w:val="95"/>
              </w:rPr>
              <w:t>BofA Securities</w:t>
            </w: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​​Goldman Sachs &amp; Co. LLC ​​</w:t>
            </w:r>
          </w:p>
        </w:tc>
        <w:tc>
          <w:tcPr>
            <w:tcW w:w="214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1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325"/>
        </w:trPr>
        <w:tc>
          <w:tcPr>
            <w:tcW w:w="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2200" w:type="dxa"/>
            <w:vAlign w:val="bottom"/>
          </w:tcPr>
          <w:p>
            <w:pPr>
              <w:jc w:val="center"/>
              <w:ind w:right="14"/>
              <w:spacing w:after="0"/>
              <w:rPr>
                <w:sz w:val="20"/>
                <w:szCs w:val="20"/>
                <w:color w:val="auto"/>
              </w:rPr>
            </w:pPr>
            <w:r>
              <w:rPr>
                <w:rFonts w:ascii="Times New Roman" w:cs="Times New Roman" w:eastAsia="Times New Roman" w:hAnsi="Times New Roman"/>
                <w:sz w:val="22"/>
                <w:szCs w:val="22"/>
                <w:b w:val="1"/>
                <w:bCs w:val="1"/>
                <w:color w:val="auto"/>
                <w:w w:val="97"/>
              </w:rPr>
              <w:t>Barclays</w:t>
            </w:r>
          </w:p>
        </w:tc>
        <w:tc>
          <w:tcPr>
            <w:tcW w:w="4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BNP PARIBAS</w:t>
            </w:r>
          </w:p>
        </w:tc>
        <w:tc>
          <w:tcPr>
            <w:tcW w:w="5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w:t>
            </w:r>
          </w:p>
        </w:tc>
        <w:tc>
          <w:tcPr>
            <w:tcW w:w="214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w w:val="99"/>
              </w:rPr>
              <w:t>RBC Capital Markets</w:t>
            </w:r>
          </w:p>
        </w:tc>
        <w:tc>
          <w:tcPr>
            <w:tcW w:w="1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14"/>
        </w:trPr>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Co-Managers</w:t>
            </w:r>
          </w:p>
        </w:tc>
        <w:tc>
          <w:tcPr>
            <w:tcW w:w="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89"/>
        </w:trPr>
        <w:tc>
          <w:tcPr>
            <w:tcW w:w="23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PNC Capital Markets LLC</w:t>
            </w:r>
          </w:p>
        </w:tc>
        <w:tc>
          <w:tcPr>
            <w:tcW w:w="48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 ​</w:t>
            </w:r>
          </w:p>
        </w:tc>
        <w:tc>
          <w:tcPr>
            <w:tcW w:w="19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SMBC Nikko</w:t>
            </w:r>
          </w:p>
        </w:tc>
        <w:tc>
          <w:tcPr>
            <w:tcW w:w="560" w:type="dxa"/>
            <w:vAlign w:val="bottom"/>
          </w:tcPr>
          <w:p>
            <w:pPr>
              <w:ind w:left="260"/>
              <w:spacing w:after="0"/>
              <w:rPr>
                <w:sz w:val="20"/>
                <w:szCs w:val="20"/>
                <w:color w:val="auto"/>
              </w:rPr>
            </w:pPr>
            <w:r>
              <w:rPr>
                <w:rFonts w:ascii="Times New Roman" w:cs="Times New Roman" w:eastAsia="Times New Roman" w:hAnsi="Times New Roman"/>
                <w:sz w:val="19"/>
                <w:szCs w:val="19"/>
                <w:b w:val="1"/>
                <w:bCs w:val="1"/>
                <w:color w:val="auto"/>
              </w:rPr>
              <w:t>​ ​</w:t>
            </w:r>
          </w:p>
        </w:tc>
        <w:tc>
          <w:tcPr>
            <w:tcW w:w="2140" w:type="dxa"/>
            <w:vAlign w:val="bottom"/>
          </w:tcPr>
          <w:p>
            <w:pPr>
              <w:ind w:left="520"/>
              <w:spacing w:after="0"/>
              <w:rPr>
                <w:sz w:val="20"/>
                <w:szCs w:val="20"/>
                <w:color w:val="auto"/>
              </w:rPr>
            </w:pPr>
            <w:r>
              <w:rPr>
                <w:rFonts w:ascii="Times New Roman" w:cs="Times New Roman" w:eastAsia="Times New Roman" w:hAnsi="Times New Roman"/>
                <w:sz w:val="19"/>
                <w:szCs w:val="19"/>
                <w:b w:val="1"/>
                <w:bCs w:val="1"/>
                <w:color w:val="auto"/>
              </w:rPr>
              <w:t>US Bancorp</w:t>
            </w:r>
          </w:p>
        </w:tc>
        <w:tc>
          <w:tcPr>
            <w:tcW w:w="1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w:t>
            </w:r>
          </w:p>
        </w:tc>
      </w:tr>
      <w:tr>
        <w:trPr>
          <w:trHeight w:val="296"/>
        </w:trPr>
        <w:tc>
          <w:tcPr>
            <w:tcW w:w="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w:t>
            </w:r>
          </w:p>
        </w:tc>
        <w:tc>
          <w:tcPr>
            <w:tcW w:w="22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w w:val="99"/>
              </w:rPr>
              <w:t>CastleOak Securities, L.P.</w:t>
            </w:r>
          </w:p>
        </w:tc>
        <w:tc>
          <w:tcPr>
            <w:tcW w:w="48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 ​</w:t>
            </w:r>
          </w:p>
        </w:tc>
        <w:tc>
          <w:tcPr>
            <w:tcW w:w="19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Drexel Hamilton</w:t>
            </w:r>
          </w:p>
        </w:tc>
        <w:tc>
          <w:tcPr>
            <w:tcW w:w="560" w:type="dxa"/>
            <w:vAlign w:val="bottom"/>
          </w:tcPr>
          <w:p>
            <w:pPr>
              <w:ind w:left="260"/>
              <w:spacing w:after="0"/>
              <w:rPr>
                <w:sz w:val="20"/>
                <w:szCs w:val="20"/>
                <w:color w:val="auto"/>
              </w:rPr>
            </w:pPr>
            <w:r>
              <w:rPr>
                <w:rFonts w:ascii="Times New Roman" w:cs="Times New Roman" w:eastAsia="Times New Roman" w:hAnsi="Times New Roman"/>
                <w:sz w:val="19"/>
                <w:szCs w:val="19"/>
                <w:b w:val="1"/>
                <w:bCs w:val="1"/>
                <w:color w:val="auto"/>
              </w:rPr>
              <w:t>​ ​</w:t>
            </w:r>
          </w:p>
        </w:tc>
        <w:tc>
          <w:tcPr>
            <w:tcW w:w="214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Ramirez &amp; Co., Inc.</w:t>
            </w:r>
          </w:p>
        </w:tc>
        <w:tc>
          <w:tcPr>
            <w:tcW w:w="1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1067435</wp:posOffset>
            </wp:positionV>
            <wp:extent cx="474535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47453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1270</wp:posOffset>
            </wp:positionV>
            <wp:extent cx="4745355"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4745355" cy="1333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192405</wp:posOffset>
            </wp:positionV>
            <wp:extent cx="52444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524446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9" w:name="page80"/>
    <w:bookmarkEnd w:id="79"/>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5"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PRINCIPAL FINANCIAL GROUP INC</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52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4"/>
              </w:rPr>
              <w:t>Carry</w:t>
            </w:r>
          </w:p>
        </w:tc>
        <w:tc>
          <w:tcPr>
            <w:tcW w:w="4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60" w:type="dxa"/>
            <w:vAlign w:val="bottom"/>
            <w:shd w:val="clear" w:color="auto" w:fill="9ADAF6"/>
          </w:tcPr>
          <w:p>
            <w:pPr>
              <w:jc w:val="right"/>
              <w:ind w:right="77"/>
              <w:spacing w:after="0" w:line="186"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60" w:type="dxa"/>
            <w:vAlign w:val="bottom"/>
            <w:shd w:val="clear" w:color="auto" w:fill="9ADAF6"/>
          </w:tcPr>
          <w:p>
            <w:pPr>
              <w:jc w:val="right"/>
              <w:spacing w:after="0" w:line="186"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rPr>
              <w:t>File</w:t>
            </w:r>
          </w:p>
        </w:tc>
        <w:tc>
          <w:tcPr>
            <w:tcW w:w="4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4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gridSpan w:val="5"/>
          </w:tcPr>
          <w:p>
            <w:pPr>
              <w:jc w:val="center"/>
              <w:ind w:right="17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rPr>
              <w:t>5.300%</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rPr>
              <w:t>Senior</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400,000,000</w:t>
            </w:r>
          </w:p>
        </w:tc>
        <w:tc>
          <w:tcPr>
            <w:tcW w:w="20" w:type="dxa"/>
            <w:vAlign w:val="bottom"/>
          </w:tcPr>
          <w:p>
            <w:pPr>
              <w:spacing w:after="0"/>
              <w:rPr>
                <w:sz w:val="16"/>
                <w:szCs w:val="16"/>
                <w:color w:val="auto"/>
              </w:rPr>
            </w:pPr>
          </w:p>
        </w:tc>
        <w:tc>
          <w:tcPr>
            <w:tcW w:w="7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5"/>
              </w:rPr>
              <w:t>$ 0.99709</w:t>
            </w: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6"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$ 55,079.25</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jc w:val="center"/>
              <w:spacing w:after="0" w:line="186" w:lineRule="exact"/>
              <w:rPr>
                <w:sz w:val="20"/>
                <w:szCs w:val="20"/>
                <w:color w:val="auto"/>
              </w:rPr>
            </w:pPr>
            <w:r>
              <w:rPr>
                <w:rFonts w:ascii="Arial" w:cs="Arial" w:eastAsia="Arial" w:hAnsi="Arial"/>
                <w:sz w:val="17"/>
                <w:szCs w:val="17"/>
                <w:color w:val="auto"/>
                <w:w w:val="95"/>
              </w:rPr>
              <w:t>Notes due</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6" w:lineRule="exact"/>
              <w:rPr>
                <w:sz w:val="20"/>
                <w:szCs w:val="20"/>
                <w:color w:val="auto"/>
              </w:rPr>
            </w:pPr>
            <w:r>
              <w:rPr>
                <w:rFonts w:ascii="Arial" w:cs="Arial" w:eastAsia="Arial" w:hAnsi="Arial"/>
                <w:sz w:val="17"/>
                <w:szCs w:val="17"/>
                <w:color w:val="auto"/>
                <w:w w:val="96"/>
              </w:rPr>
              <w:t>398,836,000.00</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2037</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jc w:val="center"/>
              <w:spacing w:after="0" w:line="176" w:lineRule="exact"/>
              <w:rPr>
                <w:sz w:val="20"/>
                <w:szCs w:val="20"/>
                <w:color w:val="auto"/>
              </w:rPr>
            </w:pPr>
            <w:r>
              <w:rPr>
                <w:rFonts w:ascii="Arial" w:cs="Arial" w:eastAsia="Arial" w:hAnsi="Arial"/>
                <w:sz w:val="17"/>
                <w:szCs w:val="17"/>
                <w:color w:val="auto"/>
                <w:w w:val="97"/>
              </w:rPr>
              <w:t>Guarantee</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jc w:val="center"/>
              <w:spacing w:after="0" w:line="186" w:lineRule="exact"/>
              <w:rPr>
                <w:sz w:val="20"/>
                <w:szCs w:val="20"/>
                <w:color w:val="auto"/>
              </w:rPr>
            </w:pPr>
            <w:r>
              <w:rPr>
                <w:rFonts w:ascii="Arial" w:cs="Arial" w:eastAsia="Arial" w:hAnsi="Arial"/>
                <w:sz w:val="17"/>
                <w:szCs w:val="17"/>
                <w:color w:val="auto"/>
                <w:w w:val="96"/>
              </w:rPr>
              <w:t>of 5.300%</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Other</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20"/>
              <w:spacing w:after="0" w:line="186" w:lineRule="exact"/>
              <w:rPr>
                <w:sz w:val="20"/>
                <w:szCs w:val="20"/>
                <w:color w:val="auto"/>
              </w:rPr>
            </w:pPr>
            <w:r>
              <w:rPr>
                <w:rFonts w:ascii="Arial" w:cs="Arial" w:eastAsia="Arial" w:hAnsi="Arial"/>
                <w:sz w:val="17"/>
                <w:szCs w:val="17"/>
                <w:color w:val="auto"/>
              </w:rPr>
              <w:t>Senior</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5"/>
              </w:rPr>
              <w:t>Notes due</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2037</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0" w:type="dxa"/>
            <w:vAlign w:val="bottom"/>
            <w:gridSpan w:val="5"/>
          </w:tcPr>
          <w:p>
            <w:pPr>
              <w:jc w:val="center"/>
              <w:ind w:right="17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1"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$ 55,079.25</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8"/>
              </w:rPr>
              <w:t>398,836,000.00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$ 55,079.25</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1" w:lineRule="exact"/>
        <w:rPr>
          <w:sz w:val="20"/>
          <w:szCs w:val="20"/>
          <w:color w:val="auto"/>
        </w:rPr>
      </w:pPr>
    </w:p>
    <w:p>
      <w:pPr>
        <w:ind w:left="200" w:right="420" w:firstLine="10"/>
        <w:spacing w:after="0" w:line="232" w:lineRule="auto"/>
        <w:tabs>
          <w:tab w:leader="none" w:pos="44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registration fee of $55,079.25 is calculated in accordance with Rule 457(r) of the Securities Act of 1933, as amended (the "Securities Act"). Payment of the registration fee at the time of filing of the registrants' registration statement on Form S-3 filed with the Securities and Exchange Commission on February 25, 2026 (File Nos. 333-293726 and 333-293726-01), was deferred pursuant to Rules 456(b) and 457(r) of the Securities Act, and is paid herewith. This registration fee table shall be deemed to update the "Calculation of Registration Fee" table in such registration statement.</w:t>
      </w:r>
    </w:p>
    <w:p>
      <w:pPr>
        <w:spacing w:after="0" w:line="2" w:lineRule="exact"/>
        <w:rPr>
          <w:rFonts w:ascii="Arial" w:cs="Arial" w:eastAsia="Arial" w:hAnsi="Arial"/>
          <w:sz w:val="17"/>
          <w:szCs w:val="17"/>
          <w:color w:val="auto"/>
        </w:rPr>
      </w:pPr>
    </w:p>
    <w:p>
      <w:pPr>
        <w:ind w:left="200" w:right="780" w:firstLine="10"/>
        <w:spacing w:after="0" w:line="266" w:lineRule="auto"/>
        <w:tabs>
          <w:tab w:leader="none" w:pos="4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Maximum Aggregate Offering Price represents the aggregate principal amount of the 5.300% Senior Notes due 2037 multiplied by the Proposed Maximum Offering Price Per Unit, before deducting underwriting discounts and commissions and estimated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5010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Pursuant to Rule 457(n) promulgated under the Securities Act, no separate filing fee is required for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5010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97"/>
              <w:spacing w:after="0" w:line="186"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9ADAF6"/>
            </w:tcBorders>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6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4"/>
          </w:tcPr>
          <w:p>
            <w:pPr>
              <w:ind w:left="300"/>
              <w:spacing w:after="0"/>
              <w:rPr>
                <w:sz w:val="20"/>
                <w:szCs w:val="20"/>
                <w:color w:val="auto"/>
              </w:rPr>
            </w:pPr>
            <w:r>
              <w:rPr>
                <w:rFonts w:ascii="Arial" w:cs="Arial" w:eastAsia="Arial" w:hAnsi="Arial"/>
                <w:sz w:val="17"/>
                <w:szCs w:val="17"/>
                <w:b w:val="1"/>
                <w:bCs w:val="1"/>
                <w:color w:val="auto"/>
                <w:w w:val="95"/>
              </w:rPr>
              <w:t>Rule 457(p)</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4"/>
            <w:shd w:val="clear" w:color="auto" w:fill="9ADAF6"/>
          </w:tcPr>
          <w:p>
            <w:pPr>
              <w:ind w:left="360"/>
              <w:spacing w:after="0" w:line="192" w:lineRule="exact"/>
              <w:rPr>
                <w:sz w:val="20"/>
                <w:szCs w:val="20"/>
                <w:color w:val="auto"/>
              </w:rPr>
            </w:pPr>
            <w:r>
              <w:rPr>
                <w:rFonts w:ascii="Arial" w:cs="Arial" w:eastAsia="Arial" w:hAnsi="Arial"/>
                <w:sz w:val="17"/>
                <w:szCs w:val="17"/>
                <w:b w:val="1"/>
                <w:bCs w:val="1"/>
                <w:color w:val="auto"/>
                <w:w w:val="96"/>
              </w:rPr>
              <w:t>Amount of</w:t>
            </w: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2" w:lineRule="exact"/>
              <w:rPr>
                <w:sz w:val="20"/>
                <w:szCs w:val="20"/>
                <w:color w:val="auto"/>
              </w:rPr>
            </w:pPr>
            <w:r>
              <w:rPr>
                <w:rFonts w:ascii="Arial" w:cs="Arial" w:eastAsia="Arial" w:hAnsi="Arial"/>
                <w:sz w:val="17"/>
                <w:szCs w:val="17"/>
                <w:b w:val="1"/>
                <w:bCs w:val="1"/>
                <w:color w:val="auto"/>
                <w:w w:val="96"/>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60" w:type="dxa"/>
            <w:vAlign w:val="bottom"/>
            <w:gridSpan w:val="2"/>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4"/>
            <w:vMerge w:val="restart"/>
            <w:shd w:val="clear" w:color="auto" w:fill="9ADAF6"/>
          </w:tcPr>
          <w:p>
            <w:pPr>
              <w:ind w:left="380"/>
              <w:spacing w:after="0" w:line="186" w:lineRule="exact"/>
              <w:rPr>
                <w:sz w:val="20"/>
                <w:szCs w:val="20"/>
                <w:color w:val="auto"/>
              </w:rPr>
            </w:pPr>
            <w:r>
              <w:rPr>
                <w:rFonts w:ascii="Arial" w:cs="Arial" w:eastAsia="Arial" w:hAnsi="Arial"/>
                <w:sz w:val="17"/>
                <w:szCs w:val="17"/>
                <w:b w:val="1"/>
                <w:bCs w:val="1"/>
                <w:color w:val="auto"/>
                <w:w w:val="98"/>
              </w:rPr>
              <w:t>Securities</w:t>
            </w: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40"/>
              <w:spacing w:after="0" w:line="186"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6"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60"/>
              <w:spacing w:after="0" w:line="186" w:lineRule="exact"/>
              <w:rPr>
                <w:sz w:val="20"/>
                <w:szCs w:val="20"/>
                <w:color w:val="auto"/>
              </w:rPr>
            </w:pPr>
            <w:r>
              <w:rPr>
                <w:rFonts w:ascii="Arial" w:cs="Arial" w:eastAsia="Arial" w:hAnsi="Arial"/>
                <w:sz w:val="17"/>
                <w:szCs w:val="17"/>
                <w:b w:val="1"/>
                <w:bCs w:val="1"/>
                <w:color w:val="auto"/>
                <w:w w:val="91"/>
              </w:rPr>
              <w:t>Security Type</w:t>
            </w: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gridSpan w:val="5"/>
            <w:vMerge w:val="restart"/>
            <w:shd w:val="clear" w:color="auto" w:fill="9ADAF6"/>
          </w:tcPr>
          <w:p>
            <w:pPr>
              <w:ind w:left="640"/>
              <w:spacing w:after="0" w:line="186" w:lineRule="exact"/>
              <w:rPr>
                <w:sz w:val="20"/>
                <w:szCs w:val="20"/>
                <w:color w:val="auto"/>
              </w:rPr>
            </w:pPr>
            <w:r>
              <w:rPr>
                <w:rFonts w:ascii="Arial" w:cs="Arial" w:eastAsia="Arial" w:hAnsi="Arial"/>
                <w:sz w:val="17"/>
                <w:szCs w:val="17"/>
                <w:b w:val="1"/>
                <w:bCs w:val="1"/>
                <w:color w:val="auto"/>
              </w:rPr>
              <w:t>Security Class Title</w:t>
            </w: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4"/>
            <w:vMerge w:val="continue"/>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gridSpan w:val="5"/>
            <w:vMerge w:val="continue"/>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4"/>
            <w:vMerge w:val="restart"/>
            <w:shd w:val="clear" w:color="auto" w:fill="9ADAF6"/>
          </w:tcPr>
          <w:p>
            <w:pPr>
              <w:ind w:left="360"/>
              <w:spacing w:after="0" w:line="186" w:lineRule="exact"/>
              <w:rPr>
                <w:sz w:val="20"/>
                <w:szCs w:val="20"/>
                <w:color w:val="auto"/>
              </w:rPr>
            </w:pPr>
            <w:r>
              <w:rPr>
                <w:rFonts w:ascii="Arial" w:cs="Arial" w:eastAsia="Arial" w:hAnsi="Arial"/>
                <w:sz w:val="17"/>
                <w:szCs w:val="17"/>
                <w:b w:val="1"/>
                <w:bCs w:val="1"/>
                <w:color w:val="auto"/>
                <w:w w:val="95"/>
              </w:rPr>
              <w:t>Previously</w:t>
            </w: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4"/>
            <w:vMerge w:val="continue"/>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59"/>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8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3"/>
              </w:rPr>
              <w:t>Registered</w:t>
            </w:r>
          </w:p>
        </w:tc>
        <w:tc>
          <w:tcPr>
            <w:tcW w:w="3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4"/>
            <w:vMerge w:val="continue"/>
            <w:shd w:val="clear" w:color="auto" w:fill="9ADAF6"/>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141" w:right="239" w:bottom="0" w:gutter="0" w:footer="0" w:header="0"/>
        </w:sectPr>
      </w:pPr>
    </w:p>
    <w:bookmarkStart w:id="80" w:name="page81"/>
    <w:bookmarkEnd w:id="80"/>
    <w:p>
      <w:pPr>
        <w:ind w:left="4740"/>
        <w:spacing w:after="0"/>
        <w:rPr>
          <w:sz w:val="20"/>
          <w:szCs w:val="20"/>
          <w:color w:val="auto"/>
        </w:rPr>
      </w:pPr>
      <w:r>
        <w:rPr>
          <w:rFonts w:ascii="Arial" w:cs="Arial" w:eastAsia="Arial" w:hAnsi="Arial"/>
          <w:sz w:val="17"/>
          <w:szCs w:val="17"/>
          <w:b w:val="1"/>
          <w:bCs w:val="1"/>
          <w:color w:val="auto"/>
        </w:rPr>
        <w:t>Narrative Disclosure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maximum aggregate offering price of the securities to which the prospectus relates is $398,836,000.00. The prospectus is a final prospectus for the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080"/>
      </w:cols>
      <w:pgMar w:left="400" w:top="25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lvl w:ilvl="1">
      <w:lvlJc w:val="left"/>
      <w:lvlText w:val="(%2)"/>
      <w:numFmt w:val="lowerRoman"/>
      <w:start w:val="2"/>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lowerRoman"/>
      <w:start w:val="4"/>
    </w:lvl>
  </w:abstractNum>
  <w:abstractNum w:abstractNumId="10">
    <w:nsid w:val="419AC241"/>
    <w:multiLevelType w:val="hybridMultilevel"/>
    <w:lvl w:ilvl="0">
      <w:lvlJc w:val="left"/>
      <w:lvlText w:val="(%1)"/>
      <w:numFmt w:val="lowerLetter"/>
      <w:start w:val="1"/>
    </w:lvl>
    <w:lvl w:ilvl="1">
      <w:lvlJc w:val="left"/>
      <w:lvlText w:val="(%2)"/>
      <w:numFmt w:val="lowerRoman"/>
      <w:start w:val="1"/>
    </w:lvl>
  </w:abstractNum>
  <w:abstractNum w:abstractNumId="11">
    <w:nsid w:val="5577F8E1"/>
    <w:multiLevelType w:val="hybridMultilevel"/>
    <w:lvl w:ilvl="0">
      <w:lvlJc w:val="left"/>
      <w:lvlText w:val="(%1)"/>
      <w:numFmt w:val="lowerRoman"/>
      <w:start w:val="1"/>
    </w:lvl>
  </w:abstractNum>
  <w:abstractNum w:abstractNumId="12">
    <w:nsid w:val="440BADFC"/>
    <w:multiLevelType w:val="hybridMultilevel"/>
    <w:lvl w:ilvl="0">
      <w:lvlJc w:val="left"/>
      <w:lvlText w:val="(%1)"/>
      <w:numFmt w:val="lowerLetter"/>
      <w:start w:val="1"/>
    </w:lvl>
  </w:abstractNum>
  <w:abstractNum w:abstractNumId="13">
    <w:nsid w:val="5072367"/>
    <w:multiLevelType w:val="hybridMultilevel"/>
    <w:lvl w:ilvl="0">
      <w:lvlJc w:val="left"/>
      <w:lvlText w:val="(%1)"/>
      <w:numFmt w:val="lowerRoman"/>
      <w:start w:val="2"/>
    </w:lvl>
  </w:abstractNum>
  <w:abstractNum w:abstractNumId="14">
    <w:nsid w:val="3804823E"/>
    <w:multiLevelType w:val="hybridMultilevel"/>
    <w:lvl w:ilvl="0">
      <w:lvlJc w:val="left"/>
      <w:lvlText w:val="(%1)"/>
      <w:numFmt w:val="lowerLetter"/>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lvl w:ilvl="1">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jpe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29" Type="http://schemas.openxmlformats.org/officeDocument/2006/relationships/hyperlink" Target="https://www.sec.gov/ix?doc=/Archives/edgar/data/1126328/000110465926017031/pfg-20251231x10k.htm" TargetMode="External"/><Relationship Id="rId30" Type="http://schemas.openxmlformats.org/officeDocument/2006/relationships/hyperlink" Target="https://www.sec.gov/ix?doc=/Archives/edgar/data/1126328/000110465926051384/pfg-20260331x10q.htm" TargetMode="External"/><Relationship Id="rId77" Type="http://schemas.openxmlformats.org/officeDocument/2006/relationships/hyperlink" Target="https://www.sec.gov/ix?doc=/Archives/edgar/data/1126328/000110465926064476/tm2615128d1_8k.htm" TargetMode="External"/><Relationship Id="rId132" Type="http://schemas.openxmlformats.org/officeDocument/2006/relationships/hyperlink" Target="https://www.sec.gov/Archives/edgar/data/1126328/000112632817000314/pfg8-a12b121517.htm" TargetMode="External"/><Relationship Id="rId133" Type="http://schemas.openxmlformats.org/officeDocument/2006/relationships/hyperlink" Target="https://www.sec.gov/ix?doc=/Archives/edgar/data/1126328/000110465925032660/tm2418549-3_def14a.htm" TargetMode="External"/><Relationship Id="rId134" Type="http://schemas.openxmlformats.org/officeDocument/2006/relationships/hyperlink" Target="https://www.sec.gov/ix?doc=/Archives/edgar/data/1126328/000141057825000160/pfg-2024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2026-05-29T16:59:41Z</dcterms:created>
  <dcterms:modified xsi:type="dcterms:W3CDTF">2026-05-29T16:59:41Z</dcterms:modified>
</cp:coreProperties>
</file>